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527C" w14:textId="28D70A05" w:rsidR="0031146F" w:rsidRPr="00052895" w:rsidRDefault="0031146F" w:rsidP="0031146F">
      <w:pPr>
        <w:spacing w:line="360" w:lineRule="auto"/>
        <w:jc w:val="both"/>
        <w:rPr>
          <w:rFonts w:cs="Arial"/>
          <w:b/>
          <w:sz w:val="28"/>
          <w:szCs w:val="28"/>
        </w:rPr>
      </w:pPr>
      <w:r>
        <w:rPr>
          <w:b/>
          <w:sz w:val="28"/>
        </w:rPr>
        <w:t xml:space="preserve">MEYLE, en </w:t>
      </w:r>
      <w:r w:rsidR="00BC4AE3">
        <w:rPr>
          <w:b/>
          <w:sz w:val="28"/>
        </w:rPr>
        <w:t>el</w:t>
      </w:r>
      <w:r>
        <w:rPr>
          <w:b/>
          <w:sz w:val="28"/>
        </w:rPr>
        <w:t xml:space="preserve"> MOTORTEC 2022 de Madrid: el público especializado encontrará productos destacados y novedades en el stand ferial interactivo 5</w:t>
      </w:r>
      <w:r w:rsidR="00F7340E">
        <w:rPr>
          <w:b/>
          <w:sz w:val="28"/>
        </w:rPr>
        <w:t>E15</w:t>
      </w:r>
      <w:r w:rsidR="00383EEF">
        <w:rPr>
          <w:b/>
          <w:sz w:val="28"/>
        </w:rPr>
        <w:tab/>
      </w:r>
      <w:r w:rsidR="00383EEF">
        <w:rPr>
          <w:b/>
          <w:sz w:val="28"/>
        </w:rPr>
        <w:br/>
      </w:r>
    </w:p>
    <w:p w14:paraId="216D3E5C" w14:textId="6A368728" w:rsidR="0031146F" w:rsidRDefault="0031146F" w:rsidP="0031146F">
      <w:pPr>
        <w:spacing w:line="360" w:lineRule="auto"/>
        <w:jc w:val="both"/>
        <w:rPr>
          <w:rFonts w:cs="Arial"/>
          <w:b/>
        </w:rPr>
      </w:pPr>
      <w:r>
        <w:rPr>
          <w:b/>
          <w:u w:val="single"/>
        </w:rPr>
        <w:t xml:space="preserve">Hamburgo, a </w:t>
      </w:r>
      <w:r w:rsidR="006A3748">
        <w:rPr>
          <w:b/>
          <w:u w:val="single"/>
        </w:rPr>
        <w:t>11</w:t>
      </w:r>
      <w:r>
        <w:rPr>
          <w:b/>
          <w:u w:val="single"/>
        </w:rPr>
        <w:t>. de abril de 2022.</w:t>
      </w:r>
      <w:r>
        <w:rPr>
          <w:b/>
        </w:rPr>
        <w:t xml:space="preserve"> El fabricante hamburgués MEYLE estará presente en </w:t>
      </w:r>
      <w:r w:rsidR="00BC4AE3">
        <w:rPr>
          <w:b/>
        </w:rPr>
        <w:t>el</w:t>
      </w:r>
      <w:r>
        <w:rPr>
          <w:b/>
        </w:rPr>
        <w:t xml:space="preserve"> MOTORTEC de Madrid, celebrada del 20 al 23 de abril. Con más de 700 empresas expositoras y más de 20.000 talleres asistentes, la feria española MOTORTEC es una de las más importantes para el mercado de repuestos del sur de Europa, además de una cita ineludible en el calendario de MEYLE. El especialista en repuestos este año</w:t>
      </w:r>
      <w:r w:rsidR="00F7340E">
        <w:rPr>
          <w:b/>
        </w:rPr>
        <w:t xml:space="preserve"> se encuentra centralmente en el stand 5E15 del pabellón 5</w:t>
      </w:r>
      <w:r>
        <w:rPr>
          <w:b/>
        </w:rPr>
        <w:t xml:space="preserve">. Aguarda allí a los visitantes una selección de soluciones que aportan al mercado libre posventa innovación y ahorro de tiempo, y una emocionante atracción central: las personas interesadas podrán ponerse manos a la obra y llevar a cabo un cambio de aceite en un modelo expuesto, desarrollado con fines formativos. </w:t>
      </w:r>
    </w:p>
    <w:p w14:paraId="76FE04B1" w14:textId="77777777" w:rsidR="0031146F" w:rsidRPr="00BC4AE3" w:rsidRDefault="0031146F" w:rsidP="0031146F">
      <w:pPr>
        <w:spacing w:line="360" w:lineRule="auto"/>
        <w:jc w:val="both"/>
        <w:rPr>
          <w:rFonts w:cs="Arial"/>
          <w:b/>
          <w:lang w:val="it-IT"/>
        </w:rPr>
      </w:pPr>
    </w:p>
    <w:p w14:paraId="499C8EFC" w14:textId="6B17078D" w:rsidR="0031146F" w:rsidRDefault="0031146F" w:rsidP="0031146F">
      <w:pPr>
        <w:spacing w:line="360" w:lineRule="auto"/>
        <w:jc w:val="both"/>
      </w:pPr>
      <w:r>
        <w:rPr>
          <w:b/>
        </w:rPr>
        <w:t>Una experiencia ferial interactiva</w:t>
      </w:r>
      <w:r w:rsidR="00B40582">
        <w:rPr>
          <w:b/>
        </w:rPr>
        <w:tab/>
      </w:r>
      <w:r w:rsidR="00B40582">
        <w:rPr>
          <w:b/>
        </w:rPr>
        <w:br/>
      </w:r>
      <w:r>
        <w:t xml:space="preserve">Por primera vez, MEYLE ofrece a los visitantes de una feria la posibilidad de ejercitarse personalmente cambiando el aceite, en un modelo didáctico de una caja 7G-Tronic. Por otra parte, estará expuesto también un modelo de caja de cambios automática Mercedes 9G-Tronic. Estos ejemplares, que se emplean en el programa formativo de MEYLE, denominado </w:t>
      </w:r>
      <w:proofErr w:type="spellStart"/>
      <w:r>
        <w:rPr>
          <w:i/>
          <w:iCs/>
        </w:rPr>
        <w:t>Technical</w:t>
      </w:r>
      <w:proofErr w:type="spellEnd"/>
      <w:r>
        <w:rPr>
          <w:i/>
          <w:iCs/>
        </w:rPr>
        <w:t xml:space="preserve"> Training</w:t>
      </w:r>
      <w:r>
        <w:t xml:space="preserve">, permiten hacer una demostración sencilla de cambio de aceite para caja de cambios. Son utilizados por los formadores técnicos para enseñar al alumnado, y en este caso al público especializado que visite el stand, los principales pasos de la operación. Los modelos portátiles permiten así al personal especializado prestar una formación de carácter práctico en cualquier lugar, sin que haga falta un vehículo apto con plataforma elevadora. </w:t>
      </w:r>
    </w:p>
    <w:p w14:paraId="1BD5908C" w14:textId="77777777" w:rsidR="00B730AA" w:rsidRPr="00BC4AE3" w:rsidRDefault="00B730AA" w:rsidP="0031146F">
      <w:pPr>
        <w:spacing w:line="360" w:lineRule="auto"/>
        <w:jc w:val="both"/>
        <w:rPr>
          <w:rFonts w:cs="Arial"/>
          <w:bCs/>
        </w:rPr>
      </w:pPr>
    </w:p>
    <w:p w14:paraId="44C954F0" w14:textId="39CADB13" w:rsidR="0031146F" w:rsidRDefault="0031146F" w:rsidP="0031146F">
      <w:pPr>
        <w:spacing w:line="360" w:lineRule="auto"/>
        <w:jc w:val="both"/>
        <w:rPr>
          <w:rFonts w:cs="Arial"/>
          <w:bCs/>
        </w:rPr>
      </w:pPr>
      <w:r>
        <w:rPr>
          <w:b/>
        </w:rPr>
        <w:lastRenderedPageBreak/>
        <w:t xml:space="preserve">Productos destacados y novedades de MEYLE en </w:t>
      </w:r>
      <w:r w:rsidR="00BC4AE3">
        <w:rPr>
          <w:b/>
        </w:rPr>
        <w:t>el</w:t>
      </w:r>
      <w:r>
        <w:rPr>
          <w:b/>
        </w:rPr>
        <w:t xml:space="preserve"> MOTORTEC</w:t>
      </w:r>
      <w:r w:rsidR="0095786E">
        <w:rPr>
          <w:b/>
        </w:rPr>
        <w:tab/>
      </w:r>
      <w:r w:rsidR="0095786E">
        <w:rPr>
          <w:b/>
        </w:rPr>
        <w:br/>
      </w:r>
      <w:r>
        <w:t>Junto a esta oferta interactiva, los visitantes del stand ferial podrán conocer directamente el innovador mundo de los productos MEYLE, centrado en las áreas frenos, tracción, filtros, electrónica, chasis, dirección y amortiguación.</w:t>
      </w:r>
    </w:p>
    <w:p w14:paraId="7ACC5C84" w14:textId="4570811E" w:rsidR="0031146F" w:rsidRDefault="0031146F" w:rsidP="0031146F">
      <w:pPr>
        <w:spacing w:line="360" w:lineRule="auto"/>
        <w:jc w:val="both"/>
        <w:rPr>
          <w:rFonts w:cs="Arial"/>
          <w:bCs/>
        </w:rPr>
      </w:pPr>
      <w:r>
        <w:t>Además se presentarán novedades del catálogo, como por ejemplo el práctico equipo de llenado MEYLE, que complementa el juego de cambio de aceite MEYLE</w:t>
      </w:r>
      <w:r w:rsidR="00BE5DF6">
        <w:t>-</w:t>
      </w:r>
      <w:r>
        <w:t xml:space="preserve">ORIGINAL para que cambiar el aceite sea aún más fácil y cómodo. El objetivo de MEYLE con sus soluciones prácticas para taller es, en efecto, ahorrar tiempo y dinero, facilitar la jornada cotidiana y ofrecer verdadero valor añadido en mercado libre de repuestos. </w:t>
      </w:r>
    </w:p>
    <w:p w14:paraId="0D063249" w14:textId="77777777" w:rsidR="0031146F" w:rsidRDefault="0031146F" w:rsidP="0031146F">
      <w:pPr>
        <w:spacing w:line="360" w:lineRule="auto"/>
        <w:jc w:val="both"/>
        <w:rPr>
          <w:rFonts w:cs="Arial"/>
          <w:bCs/>
        </w:rPr>
      </w:pPr>
      <w:r>
        <w:t xml:space="preserve">En el stand estarán disponibles para entrevistas personales expertos en producto que compartirán sus conocimientos prácticos. MEYLE espera su visita, en la que usted podrá convencerse por sí mismo de nuestras variadas soluciones creativas para el mercado libre de repuestos. </w:t>
      </w:r>
    </w:p>
    <w:p w14:paraId="05E4DE82" w14:textId="1E6ECFCE" w:rsidR="0090441B" w:rsidRDefault="0090441B" w:rsidP="007B7AA4">
      <w:pPr>
        <w:spacing w:line="360" w:lineRule="auto"/>
        <w:jc w:val="both"/>
        <w:rPr>
          <w:b/>
          <w:sz w:val="20"/>
          <w:szCs w:val="20"/>
        </w:rPr>
      </w:pPr>
      <w:r>
        <w:rPr>
          <w:b/>
          <w:sz w:val="20"/>
          <w:szCs w:val="20"/>
        </w:rPr>
        <w:br w:type="page"/>
      </w:r>
    </w:p>
    <w:p w14:paraId="360B2F44" w14:textId="119E0071" w:rsidR="0031146F" w:rsidRDefault="0031146F" w:rsidP="00052895">
      <w:pPr>
        <w:spacing w:line="360" w:lineRule="auto"/>
        <w:rPr>
          <w:rFonts w:cs="Arial"/>
          <w:sz w:val="20"/>
          <w:szCs w:val="20"/>
        </w:rPr>
      </w:pPr>
      <w:r>
        <w:rPr>
          <w:b/>
          <w:sz w:val="20"/>
        </w:rPr>
        <w:lastRenderedPageBreak/>
        <w:t>Contacto:</w:t>
      </w:r>
      <w:r w:rsidR="00052895">
        <w:rPr>
          <w:b/>
          <w:sz w:val="20"/>
        </w:rPr>
        <w:br/>
      </w:r>
      <w:r w:rsidR="00052895">
        <w:rPr>
          <w:sz w:val="20"/>
        </w:rPr>
        <w:t>1.</w:t>
      </w:r>
      <w:r w:rsidR="00052895">
        <w:rPr>
          <w:sz w:val="20"/>
        </w:rPr>
        <w:tab/>
      </w:r>
      <w:r w:rsidR="00052895">
        <w:rPr>
          <w:sz w:val="20"/>
        </w:rPr>
        <w:tab/>
      </w:r>
      <w:r>
        <w:rPr>
          <w:sz w:val="20"/>
        </w:rPr>
        <w:t xml:space="preserve">Klenk &amp; </w:t>
      </w:r>
      <w:proofErr w:type="spellStart"/>
      <w:r>
        <w:rPr>
          <w:sz w:val="20"/>
        </w:rPr>
        <w:t>Hoursch</w:t>
      </w:r>
      <w:proofErr w:type="spellEnd"/>
      <w:r>
        <w:rPr>
          <w:sz w:val="20"/>
        </w:rPr>
        <w:t xml:space="preserve"> AG, Frederic Barchfeld, tel.: +49 40 3020881-15, correo electrónico: </w:t>
      </w:r>
      <w:hyperlink r:id="rId8" w:history="1">
        <w:r>
          <w:rPr>
            <w:rStyle w:val="Hyperlink"/>
            <w:sz w:val="20"/>
          </w:rPr>
          <w:t>meyle@klenkhoursch.de</w:t>
        </w:r>
      </w:hyperlink>
      <w:r>
        <w:rPr>
          <w:sz w:val="20"/>
        </w:rPr>
        <w:t xml:space="preserve"> </w:t>
      </w:r>
      <w:r w:rsidR="00052895">
        <w:rPr>
          <w:sz w:val="20"/>
        </w:rPr>
        <w:br/>
        <w:t>2.</w:t>
      </w:r>
      <w:r w:rsidR="00052895">
        <w:rPr>
          <w:sz w:val="20"/>
        </w:rPr>
        <w:tab/>
      </w:r>
      <w:r w:rsidR="00052895">
        <w:rPr>
          <w:sz w:val="20"/>
        </w:rPr>
        <w:tab/>
      </w:r>
      <w:r>
        <w:rPr>
          <w:sz w:val="20"/>
        </w:rPr>
        <w:t xml:space="preserve">MEYLE AG, Benita Beissel, tel.: +49 40 67506 7418, correo electrónico: </w:t>
      </w:r>
      <w:hyperlink r:id="rId9" w:history="1">
        <w:r>
          <w:rPr>
            <w:rStyle w:val="Hyperlink"/>
            <w:sz w:val="20"/>
          </w:rPr>
          <w:t>press@meyle.com</w:t>
        </w:r>
      </w:hyperlink>
    </w:p>
    <w:p w14:paraId="66211539" w14:textId="77777777" w:rsidR="0031146F" w:rsidRPr="00F7340E" w:rsidRDefault="0031146F" w:rsidP="0031146F">
      <w:pPr>
        <w:spacing w:line="360" w:lineRule="auto"/>
        <w:jc w:val="both"/>
        <w:rPr>
          <w:rFonts w:cs="Arial"/>
          <w:b/>
          <w:sz w:val="20"/>
          <w:szCs w:val="22"/>
        </w:rPr>
      </w:pPr>
    </w:p>
    <w:p w14:paraId="3D692933" w14:textId="44847F9C" w:rsidR="0031146F" w:rsidRDefault="0031146F" w:rsidP="00052895">
      <w:pPr>
        <w:spacing w:line="360" w:lineRule="auto"/>
        <w:jc w:val="both"/>
        <w:rPr>
          <w:sz w:val="20"/>
        </w:rPr>
      </w:pPr>
      <w:r>
        <w:rPr>
          <w:b/>
          <w:sz w:val="20"/>
        </w:rPr>
        <w:t>Sobre la empresa</w:t>
      </w:r>
      <w:r w:rsidR="00052895">
        <w:rPr>
          <w:b/>
          <w:sz w:val="20"/>
        </w:rPr>
        <w:tab/>
      </w:r>
      <w:r w:rsidR="00052895">
        <w:rPr>
          <w:b/>
          <w:sz w:val="20"/>
        </w:rPr>
        <w:br/>
      </w:r>
      <w:r>
        <w:rPr>
          <w:sz w:val="20"/>
        </w:rPr>
        <w:t xml:space="preserve">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24.000 piezas de repuesto fiables y duraderas, hechas en las fábricas propias y con los socios de producción seleccionados. El catálogo de productos MEYLE se caracteriza, pues, por su variedad y perfección. </w:t>
      </w:r>
    </w:p>
    <w:p w14:paraId="36D96013" w14:textId="2E76BD8D" w:rsidR="0031146F" w:rsidRPr="00532CA3" w:rsidRDefault="0031146F" w:rsidP="00532CA3">
      <w:pPr>
        <w:spacing w:after="240" w:line="360" w:lineRule="auto"/>
        <w:jc w:val="both"/>
        <w:rPr>
          <w:rFonts w:cs="Arial"/>
          <w:sz w:val="20"/>
          <w:szCs w:val="22"/>
        </w:rPr>
      </w:pPr>
      <w:r w:rsidRPr="00BC4AE3">
        <w:rPr>
          <w:sz w:val="20"/>
        </w:rPr>
        <w:t>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en nuestras mejores piezas y soluciones; es decir, MEYLE contribuye a que los talleres pasen a ser EL MEJOR AMIGO DEL CONDUCTOR.</w:t>
      </w:r>
    </w:p>
    <w:p w14:paraId="6F7C6436" w14:textId="36433B73" w:rsidR="0031146F" w:rsidRPr="008B775D" w:rsidRDefault="0031146F" w:rsidP="0095786E">
      <w:pPr>
        <w:spacing w:line="360" w:lineRule="auto"/>
        <w:jc w:val="both"/>
        <w:rPr>
          <w:rFonts w:cs="Arial"/>
          <w:sz w:val="20"/>
          <w:szCs w:val="22"/>
        </w:rPr>
      </w:pPr>
      <w:r>
        <w:rPr>
          <w:b/>
          <w:sz w:val="20"/>
        </w:rPr>
        <w:t>MEYLE y la sostenibilidad</w:t>
      </w:r>
      <w:r w:rsidR="0095786E">
        <w:rPr>
          <w:b/>
          <w:sz w:val="20"/>
        </w:rPr>
        <w:tab/>
      </w:r>
      <w:r w:rsidR="00052895">
        <w:rPr>
          <w:b/>
          <w:sz w:val="20"/>
        </w:rPr>
        <w:br/>
      </w:r>
      <w:r>
        <w:rPr>
          <w:sz w:val="20"/>
        </w:rPr>
        <w:t>La sede central de MEYLE es neutral en CO</w:t>
      </w:r>
      <w:r>
        <w:rPr>
          <w:sz w:val="20"/>
          <w:vertAlign w:val="subscript"/>
        </w:rPr>
        <w:t>2</w:t>
      </w:r>
      <w:r>
        <w:rPr>
          <w:sz w:val="20"/>
        </w:rPr>
        <w:t xml:space="preserve">, según ha certificado la organización de utilidad pública </w:t>
      </w:r>
      <w:proofErr w:type="spellStart"/>
      <w:r>
        <w:rPr>
          <w:sz w:val="20"/>
        </w:rPr>
        <w:t>Klima</w:t>
      </w:r>
      <w:proofErr w:type="spellEnd"/>
      <w:r>
        <w:rPr>
          <w:sz w:val="20"/>
        </w:rPr>
        <w:t xml:space="preserve"> </w:t>
      </w:r>
      <w:proofErr w:type="spellStart"/>
      <w:r>
        <w:rPr>
          <w:sz w:val="20"/>
        </w:rPr>
        <w:t>ohne</w:t>
      </w:r>
      <w:proofErr w:type="spellEnd"/>
      <w:r>
        <w:rPr>
          <w:sz w:val="20"/>
        </w:rPr>
        <w:t xml:space="preserve"> </w:t>
      </w:r>
      <w:proofErr w:type="spellStart"/>
      <w:r>
        <w:rPr>
          <w:sz w:val="20"/>
        </w:rPr>
        <w:t>Grenzen</w:t>
      </w:r>
      <w:proofErr w:type="spellEnd"/>
      <w:r>
        <w:rPr>
          <w:sz w:val="20"/>
        </w:rPr>
        <w:t xml:space="preserve">. Para compensar las emisiones, hemos donado a dos proyectos de protección climática desarrollados en África y certificados con el Gold Standard: hornos de cocina eficientes en Uganda y electricidad hidráulica en Tanzania. </w:t>
      </w:r>
    </w:p>
    <w:p w14:paraId="121D672D" w14:textId="77777777" w:rsidR="0031146F" w:rsidRDefault="0031146F" w:rsidP="0031146F">
      <w:pPr>
        <w:rPr>
          <w:b/>
          <w:noProof/>
          <w:sz w:val="20"/>
          <w:szCs w:val="20"/>
        </w:rPr>
      </w:pPr>
      <w:r>
        <w:rPr>
          <w:noProof/>
        </w:rPr>
        <w:drawing>
          <wp:anchor distT="0" distB="0" distL="114300" distR="114300" simplePos="0" relativeHeight="251659264" behindDoc="0" locked="0" layoutInCell="1" allowOverlap="1" wp14:anchorId="04DD6406" wp14:editId="3C52FA78">
            <wp:simplePos x="0" y="0"/>
            <wp:positionH relativeFrom="column">
              <wp:posOffset>14631</wp:posOffset>
            </wp:positionH>
            <wp:positionV relativeFrom="paragraph">
              <wp:posOffset>68580</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F10F" w14:textId="77777777" w:rsidR="0031146F" w:rsidRPr="00C04CE7" w:rsidRDefault="0031146F" w:rsidP="0031146F">
      <w:pPr>
        <w:rPr>
          <w:color w:val="000000" w:themeColor="text1"/>
          <w:sz w:val="20"/>
          <w:szCs w:val="20"/>
        </w:rPr>
      </w:pPr>
      <w:r>
        <w:rPr>
          <w:b/>
          <w:sz w:val="20"/>
        </w:rPr>
        <w:t xml:space="preserve">Si lo desea síganos en nuestros canales en redes sociales: </w:t>
      </w:r>
    </w:p>
    <w:p w14:paraId="1E2B7969" w14:textId="77777777" w:rsidR="0031146F" w:rsidRPr="00052895" w:rsidRDefault="00394329" w:rsidP="0031146F">
      <w:pPr>
        <w:rPr>
          <w:b/>
          <w:noProof/>
          <w:sz w:val="20"/>
          <w:szCs w:val="20"/>
          <w:lang w:val="en-US"/>
        </w:rPr>
      </w:pPr>
      <w:hyperlink r:id="rId11" w:history="1">
        <w:r w:rsidR="0031146F" w:rsidRPr="00052895">
          <w:rPr>
            <w:rStyle w:val="Hyperlink"/>
            <w:b/>
            <w:sz w:val="20"/>
            <w:lang w:val="en-US"/>
          </w:rPr>
          <w:t>Instagram</w:t>
        </w:r>
      </w:hyperlink>
      <w:r w:rsidR="0031146F" w:rsidRPr="00052895">
        <w:rPr>
          <w:b/>
          <w:sz w:val="20"/>
          <w:lang w:val="en-US"/>
        </w:rPr>
        <w:t xml:space="preserve">, </w:t>
      </w:r>
      <w:hyperlink r:id="rId12" w:history="1">
        <w:r w:rsidR="0031146F" w:rsidRPr="00052895">
          <w:rPr>
            <w:rStyle w:val="Hyperlink"/>
            <w:b/>
            <w:sz w:val="20"/>
            <w:lang w:val="en-US"/>
          </w:rPr>
          <w:t>Facebook</w:t>
        </w:r>
      </w:hyperlink>
      <w:r w:rsidR="0031146F" w:rsidRPr="00052895">
        <w:rPr>
          <w:sz w:val="20"/>
          <w:lang w:val="en-US"/>
        </w:rPr>
        <w:t xml:space="preserve">, </w:t>
      </w:r>
      <w:hyperlink r:id="rId13" w:history="1">
        <w:r w:rsidR="0031146F" w:rsidRPr="00052895">
          <w:rPr>
            <w:rStyle w:val="Hyperlink"/>
            <w:b/>
            <w:sz w:val="20"/>
            <w:lang w:val="en-US"/>
          </w:rPr>
          <w:t>LinkedIn</w:t>
        </w:r>
      </w:hyperlink>
      <w:r w:rsidR="0031146F" w:rsidRPr="00052895">
        <w:rPr>
          <w:b/>
          <w:lang w:val="en-US"/>
        </w:rPr>
        <w:t xml:space="preserve"> </w:t>
      </w:r>
      <w:r w:rsidR="0031146F" w:rsidRPr="00052895">
        <w:rPr>
          <w:b/>
          <w:sz w:val="20"/>
          <w:lang w:val="en-US"/>
        </w:rPr>
        <w:t xml:space="preserve">y </w:t>
      </w:r>
      <w:hyperlink r:id="rId14" w:history="1">
        <w:r w:rsidR="0031146F" w:rsidRPr="00052895">
          <w:rPr>
            <w:rStyle w:val="Hyperlink"/>
            <w:b/>
            <w:sz w:val="20"/>
            <w:lang w:val="en-US"/>
          </w:rPr>
          <w:t>YouTube</w:t>
        </w:r>
      </w:hyperlink>
      <w:r w:rsidR="0031146F" w:rsidRPr="00052895">
        <w:rPr>
          <w:b/>
          <w:lang w:val="en-US"/>
        </w:rPr>
        <w:t>.</w:t>
      </w:r>
      <w:r w:rsidR="0031146F" w:rsidRPr="00052895">
        <w:rPr>
          <w:b/>
          <w:sz w:val="20"/>
          <w:lang w:val="en-US"/>
        </w:rPr>
        <w:t xml:space="preserve"> </w:t>
      </w:r>
    </w:p>
    <w:p w14:paraId="18FF7E4E" w14:textId="737F30E0" w:rsidR="00025CFB" w:rsidRPr="00025CFB" w:rsidRDefault="00025CFB" w:rsidP="0095786E">
      <w:pPr>
        <w:spacing w:line="360" w:lineRule="auto"/>
        <w:jc w:val="both"/>
        <w:rPr>
          <w:sz w:val="20"/>
        </w:rPr>
      </w:pPr>
    </w:p>
    <w:sectPr w:rsidR="00025CFB" w:rsidRPr="00025CFB"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F690" w14:textId="77777777" w:rsidR="00E3431B" w:rsidRDefault="00E3431B" w:rsidP="00D621B4">
      <w:r>
        <w:separator/>
      </w:r>
    </w:p>
  </w:endnote>
  <w:endnote w:type="continuationSeparator" w:id="0">
    <w:p w14:paraId="2B5874EB" w14:textId="77777777" w:rsidR="00E3431B" w:rsidRDefault="00E3431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0C36" w14:textId="77777777" w:rsidR="008B1230" w:rsidRDefault="008B1230">
    <w:pPr>
      <w:pStyle w:val="Fuzeile"/>
    </w:pPr>
    <w:r>
      <w:rPr>
        <w:noProof/>
        <w:lang w:val="de-DE" w:eastAsia="de-DE"/>
      </w:rPr>
      <w:drawing>
        <wp:inline distT="0" distB="0" distL="0" distR="0" wp14:anchorId="13E39CA6" wp14:editId="1DFD43C1">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6219" w14:textId="77777777" w:rsidR="00E3431B" w:rsidRDefault="00E3431B" w:rsidP="00D621B4">
      <w:r>
        <w:separator/>
      </w:r>
    </w:p>
  </w:footnote>
  <w:footnote w:type="continuationSeparator" w:id="0">
    <w:p w14:paraId="4CB59BBC" w14:textId="77777777" w:rsidR="00E3431B" w:rsidRDefault="00E3431B"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201" w14:textId="77777777" w:rsidR="008B1230" w:rsidRDefault="0090441B">
    <w:pPr>
      <w:pStyle w:val="Kopfzeile"/>
    </w:pPr>
    <w:r w:rsidRPr="00FC39CE">
      <w:rPr>
        <w:noProof/>
        <w:lang w:val="de-DE" w:eastAsia="de-DE"/>
      </w:rPr>
      <w:drawing>
        <wp:inline distT="0" distB="0" distL="0" distR="0" wp14:anchorId="458D002E" wp14:editId="4D4CBC60">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14:paraId="19A5754D" w14:textId="77777777" w:rsidR="008B1230" w:rsidRDefault="008B1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16cid:durableId="767776843">
    <w:abstractNumId w:val="2"/>
  </w:num>
  <w:num w:numId="2" w16cid:durableId="1534030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432529">
    <w:abstractNumId w:val="1"/>
  </w:num>
  <w:num w:numId="4" w16cid:durableId="746653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761082">
    <w:abstractNumId w:val="0"/>
  </w:num>
  <w:num w:numId="6" w16cid:durableId="306396315">
    <w:abstractNumId w:val="2"/>
  </w:num>
  <w:num w:numId="7" w16cid:durableId="113634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6F"/>
    <w:rsid w:val="000055BF"/>
    <w:rsid w:val="00025CFB"/>
    <w:rsid w:val="00045580"/>
    <w:rsid w:val="00052895"/>
    <w:rsid w:val="000621B7"/>
    <w:rsid w:val="00095B31"/>
    <w:rsid w:val="000B0782"/>
    <w:rsid w:val="00143C56"/>
    <w:rsid w:val="00185DE9"/>
    <w:rsid w:val="001A2D1B"/>
    <w:rsid w:val="00212B29"/>
    <w:rsid w:val="00242FF5"/>
    <w:rsid w:val="002F3A91"/>
    <w:rsid w:val="0031146F"/>
    <w:rsid w:val="00383EEF"/>
    <w:rsid w:val="00394329"/>
    <w:rsid w:val="003B5473"/>
    <w:rsid w:val="003B5776"/>
    <w:rsid w:val="003C3E35"/>
    <w:rsid w:val="003F69A7"/>
    <w:rsid w:val="0041337A"/>
    <w:rsid w:val="00443534"/>
    <w:rsid w:val="00460D9F"/>
    <w:rsid w:val="00514333"/>
    <w:rsid w:val="0051440B"/>
    <w:rsid w:val="00532CA3"/>
    <w:rsid w:val="00553447"/>
    <w:rsid w:val="00574F45"/>
    <w:rsid w:val="00577961"/>
    <w:rsid w:val="005C69AA"/>
    <w:rsid w:val="006220AD"/>
    <w:rsid w:val="00692D1E"/>
    <w:rsid w:val="006A3748"/>
    <w:rsid w:val="00714510"/>
    <w:rsid w:val="007465C1"/>
    <w:rsid w:val="007529F8"/>
    <w:rsid w:val="007B7AA4"/>
    <w:rsid w:val="007C3416"/>
    <w:rsid w:val="007C53D1"/>
    <w:rsid w:val="00814DB6"/>
    <w:rsid w:val="008B1230"/>
    <w:rsid w:val="008E67B2"/>
    <w:rsid w:val="0090441B"/>
    <w:rsid w:val="0095786E"/>
    <w:rsid w:val="0098676A"/>
    <w:rsid w:val="009A749A"/>
    <w:rsid w:val="009F6CD4"/>
    <w:rsid w:val="00A0002F"/>
    <w:rsid w:val="00A61ACA"/>
    <w:rsid w:val="00AA7EB4"/>
    <w:rsid w:val="00B0073F"/>
    <w:rsid w:val="00B1259C"/>
    <w:rsid w:val="00B40582"/>
    <w:rsid w:val="00B730AA"/>
    <w:rsid w:val="00B954C7"/>
    <w:rsid w:val="00BA74DD"/>
    <w:rsid w:val="00BC4AE3"/>
    <w:rsid w:val="00BE5DF6"/>
    <w:rsid w:val="00C02E3B"/>
    <w:rsid w:val="00CB7C07"/>
    <w:rsid w:val="00CC1C89"/>
    <w:rsid w:val="00D600C6"/>
    <w:rsid w:val="00D621B4"/>
    <w:rsid w:val="00D936C8"/>
    <w:rsid w:val="00E3431B"/>
    <w:rsid w:val="00E86592"/>
    <w:rsid w:val="00EE598C"/>
    <w:rsid w:val="00F34C52"/>
    <w:rsid w:val="00F7340E"/>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351D"/>
  <w15:docId w15:val="{7E0DAC31-94A2-4EF1-AD3B-46FD35DE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54F3-F80D-44D8-BF51-8993936C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Apostroph Germany</dc:creator>
  <cp:lastModifiedBy>Katja Schulte</cp:lastModifiedBy>
  <cp:revision>14</cp:revision>
  <dcterms:created xsi:type="dcterms:W3CDTF">2022-04-06T10:20:00Z</dcterms:created>
  <dcterms:modified xsi:type="dcterms:W3CDTF">2022-04-20T09:47:00Z</dcterms:modified>
</cp:coreProperties>
</file>