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EA1D" w14:textId="3831139B" w:rsidR="00BE063A" w:rsidRPr="006F6679" w:rsidRDefault="00BE063A" w:rsidP="00BE063A">
      <w:pPr>
        <w:shd w:val="clear" w:color="auto" w:fill="FFFFFF"/>
        <w:spacing w:before="100" w:beforeAutospacing="1" w:after="100" w:afterAutospacing="1"/>
        <w:rPr>
          <w:rFonts w:cs="Arial"/>
          <w:b/>
          <w:bCs/>
          <w:color w:val="000000"/>
          <w:sz w:val="30"/>
          <w:szCs w:val="30"/>
        </w:rPr>
      </w:pPr>
      <w:r w:rsidRPr="006F6679">
        <w:rPr>
          <w:b/>
          <w:sz w:val="28"/>
        </w:rPr>
        <w:t>MEYLE présente sa première gamme de produits climatiquement neutres</w:t>
      </w:r>
    </w:p>
    <w:p w14:paraId="7C209747" w14:textId="1DEC6885" w:rsidR="00C2541A" w:rsidRPr="006F6679" w:rsidRDefault="009A4762" w:rsidP="008E7195">
      <w:pPr>
        <w:numPr>
          <w:ilvl w:val="0"/>
          <w:numId w:val="16"/>
        </w:numPr>
        <w:shd w:val="clear" w:color="auto" w:fill="FFFFFF"/>
        <w:spacing w:before="100" w:beforeAutospacing="1" w:after="100" w:afterAutospacing="1" w:line="360" w:lineRule="auto"/>
        <w:rPr>
          <w:rFonts w:cs="Arial"/>
          <w:b/>
          <w:bCs/>
          <w:color w:val="000000"/>
        </w:rPr>
      </w:pPr>
      <w:r w:rsidRPr="006F6679">
        <w:rPr>
          <w:b/>
          <w:color w:val="000000"/>
        </w:rPr>
        <w:t>Depuis juin 2022, les pièces de suspension et direction MEYLE HD représentent les premiers produits climatiquement neutres sur le marché secondaire indépendant</w:t>
      </w:r>
    </w:p>
    <w:p w14:paraId="51C43FD8" w14:textId="7297910D" w:rsidR="007825AE" w:rsidRPr="006F6679" w:rsidRDefault="007825AE" w:rsidP="09A12879">
      <w:pPr>
        <w:numPr>
          <w:ilvl w:val="0"/>
          <w:numId w:val="16"/>
        </w:numPr>
        <w:shd w:val="clear" w:color="auto" w:fill="FFFFFF" w:themeFill="background1"/>
        <w:spacing w:before="100" w:beforeAutospacing="1" w:after="100" w:afterAutospacing="1" w:line="360" w:lineRule="auto"/>
        <w:rPr>
          <w:rFonts w:cs="Arial"/>
          <w:b/>
          <w:bCs/>
          <w:color w:val="000000"/>
        </w:rPr>
      </w:pPr>
      <w:r w:rsidRPr="09A12879">
        <w:rPr>
          <w:b/>
          <w:bCs/>
          <w:color w:val="000000" w:themeColor="text1"/>
        </w:rPr>
        <w:t>L’objectif de MEYLE est que l’ensemble de sa gamme de produits soit climatiquement neutre d’ici 2030</w:t>
      </w:r>
    </w:p>
    <w:p w14:paraId="1C17194F" w14:textId="3C68C64E" w:rsidR="09A12879" w:rsidRDefault="09A12879" w:rsidP="09A12879">
      <w:pPr>
        <w:shd w:val="clear" w:color="auto" w:fill="FFFFFF" w:themeFill="background1"/>
        <w:spacing w:beforeAutospacing="1" w:afterAutospacing="1" w:line="360" w:lineRule="auto"/>
        <w:rPr>
          <w:b/>
          <w:bCs/>
          <w:color w:val="000000" w:themeColor="text1"/>
        </w:rPr>
      </w:pPr>
    </w:p>
    <w:p w14:paraId="7D90F398" w14:textId="48699570" w:rsidR="00D35A65" w:rsidRPr="006F6679" w:rsidRDefault="009A4762" w:rsidP="00C2541A">
      <w:pPr>
        <w:shd w:val="clear" w:color="auto" w:fill="FFFFFF"/>
        <w:spacing w:before="100" w:beforeAutospacing="1" w:after="100" w:afterAutospacing="1" w:line="360" w:lineRule="auto"/>
        <w:jc w:val="both"/>
        <w:rPr>
          <w:rFonts w:cs="Arial"/>
          <w:b/>
          <w:bCs/>
          <w:color w:val="000000"/>
        </w:rPr>
      </w:pPr>
      <w:r w:rsidRPr="006F6679">
        <w:rPr>
          <w:b/>
          <w:u w:val="single"/>
        </w:rPr>
        <w:t xml:space="preserve">Hambourg, le </w:t>
      </w:r>
      <w:r w:rsidR="00A221ED" w:rsidRPr="00A221ED">
        <w:rPr>
          <w:b/>
          <w:u w:val="single"/>
        </w:rPr>
        <w:t>8 septembre</w:t>
      </w:r>
      <w:r w:rsidR="00A221ED">
        <w:rPr>
          <w:b/>
          <w:u w:val="single"/>
        </w:rPr>
        <w:t xml:space="preserve"> </w:t>
      </w:r>
      <w:r w:rsidRPr="006F6679">
        <w:rPr>
          <w:b/>
          <w:u w:val="single"/>
        </w:rPr>
        <w:t>2022.</w:t>
      </w:r>
      <w:r w:rsidRPr="006F6679">
        <w:rPr>
          <w:b/>
        </w:rPr>
        <w:t xml:space="preserve"> 20 ans après la présentation de la première pièce MEYLE HD, le fabricant hambourgeois fait maintenant de ses pièces de suspension et de direction MEYLE HD la première ligne de produits climatiquement neutres sur le marché secondaire indépendant.</w:t>
      </w:r>
      <w:r w:rsidRPr="006F6679">
        <w:t xml:space="preserve"> </w:t>
      </w:r>
      <w:r w:rsidRPr="006F6679">
        <w:rPr>
          <w:b/>
        </w:rPr>
        <w:t>Objectif de l’entreprise : devenir climatiquement neutre d’ici 2030.</w:t>
      </w:r>
    </w:p>
    <w:p w14:paraId="2DD8DB24" w14:textId="70860BDD" w:rsidR="0088251F" w:rsidRPr="006F6679" w:rsidRDefault="00D35A65" w:rsidP="00C2541A">
      <w:pPr>
        <w:shd w:val="clear" w:color="auto" w:fill="FFFFFF"/>
        <w:spacing w:before="100" w:beforeAutospacing="1" w:after="100" w:afterAutospacing="1" w:line="360" w:lineRule="auto"/>
        <w:jc w:val="both"/>
        <w:rPr>
          <w:rFonts w:cs="Arial"/>
          <w:bCs/>
          <w:szCs w:val="23"/>
        </w:rPr>
      </w:pPr>
      <w:r w:rsidRPr="006F6679">
        <w:t>Nous travaillons sur l’amélioration du bilan climatique des pièces MEYLE HD pour la suspension et la direction depuis 2019. Les émissions de la production ont déjà pu être considérablement réduites grâce à des mesures d’efficacité énergétique et à l’achat d’énergie éolienne. L’entreprise franchit désormais une étape décisive en compensant les émissions de CO</w:t>
      </w:r>
      <w:r w:rsidRPr="006F6679">
        <w:rPr>
          <w:vertAlign w:val="subscript"/>
        </w:rPr>
        <w:t>2</w:t>
      </w:r>
      <w:r w:rsidRPr="006F6679">
        <w:t xml:space="preserve"> des pièces MEYLE HD dans la catégorie suspension et direction en coopération avec </w:t>
      </w:r>
      <w:proofErr w:type="spellStart"/>
      <w:r w:rsidRPr="006F6679">
        <w:t>ClimatePartner</w:t>
      </w:r>
      <w:proofErr w:type="spellEnd"/>
      <w:r w:rsidRPr="006F6679">
        <w:t>. La production de ces pièces se fait en grande partie dans notre propre usine en Turquie qui, tout comme le siège de MEYLE à Hambourg, est déjà certifiée neutre en CO</w:t>
      </w:r>
      <w:r w:rsidRPr="006F6679">
        <w:rPr>
          <w:vertAlign w:val="subscript"/>
        </w:rPr>
        <w:t>2</w:t>
      </w:r>
      <w:r w:rsidRPr="006F6679">
        <w:t xml:space="preserve"> depuis 2021 (scope 1 et 2 selon le Protocole GES).</w:t>
      </w:r>
    </w:p>
    <w:p w14:paraId="76F7C19A" w14:textId="70EAF764" w:rsidR="00C2541A" w:rsidRPr="006F6679" w:rsidRDefault="009A4762" w:rsidP="00C2541A">
      <w:pPr>
        <w:shd w:val="clear" w:color="auto" w:fill="FFFFFF"/>
        <w:spacing w:before="100" w:beforeAutospacing="1" w:after="100" w:afterAutospacing="1" w:line="360" w:lineRule="auto"/>
        <w:jc w:val="both"/>
        <w:rPr>
          <w:rFonts w:cs="Arial"/>
          <w:bCs/>
          <w:szCs w:val="23"/>
        </w:rPr>
      </w:pPr>
      <w:r w:rsidRPr="006F6679">
        <w:t>Le concept derrière les pièces MEYLE HD a toujours été durable : au lieu d’acheter une nouvelle pièce, on la répare avec une pièce de rechange qui dure plus longtemps que l’original</w:t>
      </w:r>
      <w:r w:rsidR="003E1CBB">
        <w:t>e</w:t>
      </w:r>
      <w:r w:rsidRPr="006F6679">
        <w:t xml:space="preserve">. « C’est déjà bien, mais cela ne nous suffit pas. Nous voulons être une force de proposition dans un secteur très hétérogène et international », explique Florian Gaertner, responsable du développement durable chez MEYLE. « C’est </w:t>
      </w:r>
      <w:r w:rsidRPr="006F6679">
        <w:lastRenderedPageBreak/>
        <w:t>pourquoi nous nous sommes engagés à respecter le Pacte mondial des Nations unies en 2021, à accélérer systématiquement nos activités de développement durable et à les étendre petit à petit »</w:t>
      </w:r>
    </w:p>
    <w:p w14:paraId="2A3CB0DE" w14:textId="266E17FF" w:rsidR="009336C9" w:rsidRPr="006F6679" w:rsidRDefault="0072111A" w:rsidP="00807236">
      <w:pPr>
        <w:shd w:val="clear" w:color="auto" w:fill="FFFFFF"/>
        <w:spacing w:before="100" w:beforeAutospacing="1" w:after="100" w:afterAutospacing="1" w:line="360" w:lineRule="auto"/>
        <w:jc w:val="both"/>
        <w:rPr>
          <w:rFonts w:cs="Arial"/>
          <w:bCs/>
          <w:szCs w:val="23"/>
        </w:rPr>
      </w:pPr>
      <w:r w:rsidRPr="006F6679">
        <w:t>La gestion de la durabilité comprend désormais une multitude de projets dans tous les secteurs de l’entreprise. L’objectif principal est de pouvoir proposer l’ensemble de la gamme de produits sans impact sur le climat d’ici 2030. L’accent est mis sur le fait d’éviter les émissions de CO</w:t>
      </w:r>
      <w:r w:rsidRPr="006F6679">
        <w:rPr>
          <w:vertAlign w:val="subscript"/>
        </w:rPr>
        <w:t>2</w:t>
      </w:r>
      <w:r w:rsidRPr="006F6679">
        <w:t>. « Pour cela, nous donnons tout ce que nous pouvons avec les moyens dont nous disposons et ce n’est qu’ensuite que nous misons sur la compensation des émissions restantes par des investissements dans des projets durables », explique Gaertner.</w:t>
      </w:r>
    </w:p>
    <w:p w14:paraId="56730EFA" w14:textId="6B58F1F4" w:rsidR="00362129" w:rsidRPr="006F6679" w:rsidRDefault="00FF0D66" w:rsidP="009336C9">
      <w:pPr>
        <w:shd w:val="clear" w:color="auto" w:fill="FFFFFF"/>
        <w:spacing w:before="100" w:beforeAutospacing="1" w:after="100" w:afterAutospacing="1" w:line="360" w:lineRule="auto"/>
        <w:jc w:val="both"/>
      </w:pPr>
      <w:r w:rsidRPr="006F6679">
        <w:t>Le siège de l’entreprise ainsi que le site de production des pièces de suspension et de direction SIO sont déjà certifiés neutres en CO</w:t>
      </w:r>
      <w:r w:rsidRPr="006F6679">
        <w:rPr>
          <w:vertAlign w:val="subscript"/>
        </w:rPr>
        <w:t>2</w:t>
      </w:r>
      <w:r w:rsidRPr="006F6679">
        <w:t>. La prochaine étape consistera à rendre tous les autres sites neutres en CO</w:t>
      </w:r>
      <w:r w:rsidRPr="006F6679">
        <w:rPr>
          <w:vertAlign w:val="subscript"/>
        </w:rPr>
        <w:t>2</w:t>
      </w:r>
      <w:r w:rsidRPr="006F6679">
        <w:t>. MEYLE souhaite également que ses fournisseurs réduisent eux-aussi leurs émissions de CO</w:t>
      </w:r>
      <w:r w:rsidRPr="006F6679">
        <w:rPr>
          <w:vertAlign w:val="subscript"/>
        </w:rPr>
        <w:t>2</w:t>
      </w:r>
      <w:r w:rsidRPr="006F6679">
        <w:t>. Grâce à l’utilisation de matériaux à faible émission de CO</w:t>
      </w:r>
      <w:r w:rsidRPr="006F6679">
        <w:rPr>
          <w:vertAlign w:val="subscript"/>
        </w:rPr>
        <w:t>2</w:t>
      </w:r>
      <w:r w:rsidRPr="006F6679">
        <w:t>, comme « l’aluminium et l’acier verts », l’entreprise projette de réduire encore plus ses émissions de CO</w:t>
      </w:r>
      <w:r w:rsidRPr="006F6679">
        <w:rPr>
          <w:vertAlign w:val="subscript"/>
        </w:rPr>
        <w:t>2</w:t>
      </w:r>
      <w:r w:rsidRPr="006F6679">
        <w:t xml:space="preserve"> à l’avenir. Dans le domaine de la logistique, après un premier changement de matériaux d’emballage et d’expédition, l’entreprise économise environ quatre tonnes de plastique par an. D’autres réductions sont envisagées.</w:t>
      </w:r>
    </w:p>
    <w:p w14:paraId="6617E592" w14:textId="0A205ADB" w:rsidR="006D4F7F" w:rsidRPr="006F6679" w:rsidRDefault="006D4F7F" w:rsidP="009336C9">
      <w:pPr>
        <w:shd w:val="clear" w:color="auto" w:fill="FFFFFF"/>
        <w:spacing w:before="100" w:beforeAutospacing="1" w:after="100" w:afterAutospacing="1" w:line="360" w:lineRule="auto"/>
        <w:jc w:val="both"/>
      </w:pPr>
      <w:r w:rsidRPr="006F6679">
        <w:t>MEYLE accorde une grande importance à la durabilité et à l’évolution progressive de la mobilité et a investi dès 2016 dans l’infrastructure nécessaire pour permettre aux collaborateurs et aux visiteurs de charger leurs véhicules à propulsion électrique.</w:t>
      </w:r>
    </w:p>
    <w:p w14:paraId="1124BD72" w14:textId="190F4C32" w:rsidR="00DD242F" w:rsidRPr="006F6679" w:rsidRDefault="009336C9" w:rsidP="009336C9">
      <w:pPr>
        <w:shd w:val="clear" w:color="auto" w:fill="FFFFFF"/>
        <w:spacing w:before="100" w:beforeAutospacing="1" w:after="100" w:afterAutospacing="1" w:line="360" w:lineRule="auto"/>
        <w:jc w:val="both"/>
      </w:pPr>
      <w:r w:rsidRPr="006F6679">
        <w:t>Dans le sport automobile également, d’importantes constations sont collectées sur la performance des pièces dans le but de les perfectionner et de les rendre encore plus durables. Dans ce contexte, MEYLE a également les yeux rivés sur les nouvelles technologies de propulsion. Depuis la saison dernière déjà, MEYLE participe au premier e-</w:t>
      </w:r>
      <w:proofErr w:type="spellStart"/>
      <w:r w:rsidRPr="006F6679">
        <w:t>Rally</w:t>
      </w:r>
      <w:proofErr w:type="spellEnd"/>
      <w:r w:rsidRPr="006F6679">
        <w:t xml:space="preserve"> de l’ADAC Opel en tant que partenaire sponsor.</w:t>
      </w:r>
    </w:p>
    <w:p w14:paraId="210A8310" w14:textId="79FF0122" w:rsidR="009336C9" w:rsidRPr="006F6679" w:rsidRDefault="00AF1B63" w:rsidP="009336C9">
      <w:pPr>
        <w:shd w:val="clear" w:color="auto" w:fill="FFFFFF"/>
        <w:spacing w:before="100" w:beforeAutospacing="1" w:after="100" w:afterAutospacing="1" w:line="360" w:lineRule="auto"/>
        <w:jc w:val="both"/>
        <w:rPr>
          <w:rFonts w:cs="Arial"/>
          <w:bCs/>
          <w:szCs w:val="23"/>
        </w:rPr>
      </w:pPr>
      <w:r w:rsidRPr="006F6679">
        <w:lastRenderedPageBreak/>
        <w:t xml:space="preserve">Vous pouvez consulter le rapport sur les progrès en matière de droits de l’homme et d’environnement </w:t>
      </w:r>
      <w:r w:rsidR="0091533B">
        <w:t>sur</w:t>
      </w:r>
      <w:r w:rsidRPr="006F6679">
        <w:t xml:space="preserve"> la </w:t>
      </w:r>
      <w:hyperlink r:id="rId12" w:history="1">
        <w:r w:rsidRPr="009524B2">
          <w:rPr>
            <w:rStyle w:val="Hyperlink"/>
          </w:rPr>
          <w:t>page Internet CR</w:t>
        </w:r>
      </w:hyperlink>
      <w:r w:rsidRPr="006F6679">
        <w:t xml:space="preserve"> de MEYLE.</w:t>
      </w:r>
      <w:r w:rsidR="00BF0291">
        <w:t xml:space="preserve"> </w:t>
      </w:r>
      <w:r w:rsidR="00BF0291" w:rsidRPr="00BF0291">
        <w:t xml:space="preserve">Le thème de la durabilité jouera également un rôle important au salon </w:t>
      </w:r>
      <w:proofErr w:type="spellStart"/>
      <w:r w:rsidR="00BF0291" w:rsidRPr="00BF0291">
        <w:t>Automechanika</w:t>
      </w:r>
      <w:proofErr w:type="spellEnd"/>
      <w:r w:rsidR="00BF0291" w:rsidRPr="00BF0291">
        <w:t xml:space="preserve"> de cette année, qui se tiendra du 13 au 17 septembre à Francfort-sur-le-Main. Pour en savoir plus et pour échanger avec les experts MEYLE, rendez-vous sur le stand MEYLE (hall 4.0, stand D41).</w:t>
      </w:r>
    </w:p>
    <w:p w14:paraId="1D27FEFE" w14:textId="77777777" w:rsidR="00FF2542" w:rsidRPr="00744DCB" w:rsidRDefault="00FF2542" w:rsidP="00BB2014">
      <w:pPr>
        <w:spacing w:line="360" w:lineRule="auto"/>
        <w:rPr>
          <w:b/>
          <w:sz w:val="20"/>
        </w:rPr>
      </w:pPr>
    </w:p>
    <w:p w14:paraId="721720D1" w14:textId="77777777" w:rsidR="00FF2542" w:rsidRPr="00744DCB" w:rsidRDefault="00FF2542" w:rsidP="00BB2014">
      <w:pPr>
        <w:spacing w:line="360" w:lineRule="auto"/>
        <w:rPr>
          <w:b/>
          <w:sz w:val="20"/>
        </w:rPr>
      </w:pPr>
    </w:p>
    <w:p w14:paraId="621BE6ED" w14:textId="77777777" w:rsidR="00776A1F" w:rsidRPr="00776A1F" w:rsidRDefault="00776A1F">
      <w:pPr>
        <w:rPr>
          <w:b/>
          <w:sz w:val="20"/>
        </w:rPr>
      </w:pPr>
      <w:r w:rsidRPr="00776A1F">
        <w:rPr>
          <w:b/>
          <w:sz w:val="20"/>
        </w:rPr>
        <w:br w:type="page"/>
      </w:r>
    </w:p>
    <w:p w14:paraId="484E8552" w14:textId="5CB33598" w:rsidR="00BB2014" w:rsidRPr="006F6679" w:rsidRDefault="00FF2542" w:rsidP="00BB2014">
      <w:pPr>
        <w:spacing w:line="360" w:lineRule="auto"/>
        <w:rPr>
          <w:rFonts w:cs="Arial"/>
          <w:b/>
          <w:sz w:val="20"/>
          <w:szCs w:val="20"/>
        </w:rPr>
      </w:pPr>
      <w:r>
        <w:rPr>
          <w:b/>
          <w:sz w:val="20"/>
          <w:lang w:val="de-DE"/>
        </w:rPr>
        <w:lastRenderedPageBreak/>
        <w:t>C</w:t>
      </w:r>
      <w:r w:rsidR="00BB2014" w:rsidRPr="006F6679">
        <w:rPr>
          <w:b/>
          <w:sz w:val="20"/>
          <w:lang w:val="de-DE"/>
        </w:rPr>
        <w:t>onta</w:t>
      </w:r>
      <w:r w:rsidR="008B60EF">
        <w:rPr>
          <w:b/>
          <w:sz w:val="20"/>
          <w:lang w:val="de-DE"/>
        </w:rPr>
        <w:t>c</w:t>
      </w:r>
      <w:r w:rsidR="00BB2014" w:rsidRPr="006F6679">
        <w:rPr>
          <w:b/>
          <w:sz w:val="20"/>
          <w:lang w:val="de-DE"/>
        </w:rPr>
        <w:t xml:space="preserve">t: </w:t>
      </w:r>
    </w:p>
    <w:p w14:paraId="38058584" w14:textId="1F37DBDA" w:rsidR="00BF0291" w:rsidRPr="008C65FC" w:rsidRDefault="00BF0291" w:rsidP="00BF0291">
      <w:pPr>
        <w:numPr>
          <w:ilvl w:val="0"/>
          <w:numId w:val="2"/>
        </w:numPr>
        <w:tabs>
          <w:tab w:val="clear" w:pos="720"/>
          <w:tab w:val="num" w:pos="360"/>
        </w:tabs>
        <w:spacing w:line="360" w:lineRule="auto"/>
        <w:ind w:left="360"/>
        <w:rPr>
          <w:rFonts w:cs="Arial"/>
          <w:sz w:val="20"/>
          <w:szCs w:val="20"/>
          <w:lang w:val="de-DE"/>
        </w:rPr>
      </w:pPr>
      <w:r w:rsidRPr="00825155">
        <w:rPr>
          <w:rFonts w:cs="Arial"/>
          <w:sz w:val="20"/>
          <w:szCs w:val="20"/>
          <w:lang w:val="de-DE"/>
        </w:rPr>
        <w:t>MEYLE AG</w:t>
      </w:r>
      <w:r w:rsidRPr="008C65FC">
        <w:rPr>
          <w:rFonts w:cs="Arial"/>
          <w:sz w:val="20"/>
          <w:szCs w:val="20"/>
          <w:lang w:val="de-DE"/>
        </w:rPr>
        <w:t xml:space="preserve">, </w:t>
      </w:r>
      <w:r>
        <w:rPr>
          <w:rFonts w:cs="Arial"/>
          <w:sz w:val="20"/>
          <w:szCs w:val="20"/>
          <w:lang w:val="de-DE"/>
        </w:rPr>
        <w:t>Sarah Quinn</w:t>
      </w:r>
      <w:r w:rsidRPr="008C65FC">
        <w:rPr>
          <w:rFonts w:cs="Arial"/>
          <w:sz w:val="20"/>
          <w:szCs w:val="20"/>
          <w:lang w:val="de-DE"/>
        </w:rPr>
        <w:t xml:space="preserve">, </w:t>
      </w:r>
      <w:proofErr w:type="spellStart"/>
      <w:r w:rsidRPr="008C65FC">
        <w:rPr>
          <w:rFonts w:cs="Arial"/>
          <w:sz w:val="20"/>
          <w:szCs w:val="20"/>
          <w:lang w:val="de-DE"/>
        </w:rPr>
        <w:t>T</w:t>
      </w:r>
      <w:r w:rsidR="00FF2542">
        <w:rPr>
          <w:rFonts w:cs="Arial"/>
          <w:sz w:val="20"/>
          <w:szCs w:val="20"/>
          <w:lang w:val="de-DE"/>
        </w:rPr>
        <w:t>é</w:t>
      </w:r>
      <w:r w:rsidRPr="008C65FC">
        <w:rPr>
          <w:rFonts w:cs="Arial"/>
          <w:sz w:val="20"/>
          <w:szCs w:val="20"/>
          <w:lang w:val="de-DE"/>
        </w:rPr>
        <w:t>l</w:t>
      </w:r>
      <w:proofErr w:type="spellEnd"/>
      <w:r w:rsidRPr="008C65FC">
        <w:rPr>
          <w:rFonts w:cs="Arial"/>
          <w:sz w:val="20"/>
          <w:szCs w:val="20"/>
          <w:lang w:val="de-DE"/>
        </w:rPr>
        <w:t>.: +49 40 67506 7</w:t>
      </w:r>
      <w:r>
        <w:rPr>
          <w:rFonts w:cs="Arial"/>
          <w:sz w:val="20"/>
          <w:szCs w:val="20"/>
          <w:lang w:val="de-DE"/>
        </w:rPr>
        <w:t>234</w:t>
      </w:r>
      <w:r w:rsidRPr="008C65FC">
        <w:rPr>
          <w:rFonts w:cs="Arial"/>
          <w:sz w:val="20"/>
          <w:szCs w:val="20"/>
          <w:lang w:val="de-DE"/>
        </w:rPr>
        <w:t xml:space="preserve">, </w:t>
      </w:r>
      <w:r w:rsidR="00FF2542">
        <w:rPr>
          <w:rFonts w:cs="Arial"/>
          <w:sz w:val="20"/>
          <w:szCs w:val="20"/>
          <w:lang w:val="de-DE"/>
        </w:rPr>
        <w:t>em</w:t>
      </w:r>
      <w:r w:rsidRPr="008C65FC">
        <w:rPr>
          <w:rFonts w:cs="Arial"/>
          <w:sz w:val="20"/>
          <w:szCs w:val="20"/>
          <w:lang w:val="de-DE"/>
        </w:rPr>
        <w:t xml:space="preserve">ail: </w:t>
      </w:r>
      <w:hyperlink r:id="rId13" w:history="1">
        <w:r w:rsidRPr="008C65FC">
          <w:rPr>
            <w:rStyle w:val="Hyperlink"/>
            <w:rFonts w:cs="Arial"/>
            <w:sz w:val="20"/>
            <w:szCs w:val="20"/>
            <w:lang w:val="de-DE"/>
          </w:rPr>
          <w:t>press@meyle.com</w:t>
        </w:r>
      </w:hyperlink>
    </w:p>
    <w:p w14:paraId="25A9892C" w14:textId="4CE95CBE" w:rsidR="00BB2014" w:rsidRPr="006F6679" w:rsidRDefault="00BB2014" w:rsidP="00BB2014">
      <w:pPr>
        <w:numPr>
          <w:ilvl w:val="0"/>
          <w:numId w:val="2"/>
        </w:numPr>
        <w:tabs>
          <w:tab w:val="num" w:pos="360"/>
        </w:tabs>
        <w:spacing w:line="360" w:lineRule="auto"/>
        <w:ind w:left="360"/>
        <w:rPr>
          <w:rFonts w:cs="Arial"/>
          <w:sz w:val="20"/>
          <w:szCs w:val="20"/>
          <w:lang w:val="de-DE"/>
        </w:rPr>
      </w:pPr>
      <w:r w:rsidRPr="006F6679">
        <w:rPr>
          <w:sz w:val="20"/>
          <w:lang w:val="de-DE"/>
        </w:rPr>
        <w:t xml:space="preserve">MEYLE AG, Benita Beissel, </w:t>
      </w:r>
      <w:proofErr w:type="spellStart"/>
      <w:r w:rsidRPr="006F6679">
        <w:rPr>
          <w:sz w:val="20"/>
          <w:lang w:val="de-DE"/>
        </w:rPr>
        <w:t>T</w:t>
      </w:r>
      <w:r w:rsidR="00FF2542">
        <w:rPr>
          <w:sz w:val="20"/>
          <w:lang w:val="de-DE"/>
        </w:rPr>
        <w:t>é</w:t>
      </w:r>
      <w:r w:rsidRPr="006F6679">
        <w:rPr>
          <w:sz w:val="20"/>
          <w:lang w:val="de-DE"/>
        </w:rPr>
        <w:t>l</w:t>
      </w:r>
      <w:proofErr w:type="spellEnd"/>
      <w:r w:rsidRPr="006F6679">
        <w:rPr>
          <w:sz w:val="20"/>
          <w:lang w:val="de-DE"/>
        </w:rPr>
        <w:t xml:space="preserve">.: +49 40 67506 7418, </w:t>
      </w:r>
      <w:r w:rsidR="00FF2542">
        <w:rPr>
          <w:sz w:val="20"/>
          <w:lang w:val="de-DE"/>
        </w:rPr>
        <w:t>em</w:t>
      </w:r>
      <w:r w:rsidRPr="006F6679">
        <w:rPr>
          <w:sz w:val="20"/>
          <w:lang w:val="de-DE"/>
        </w:rPr>
        <w:t xml:space="preserve">ail: </w:t>
      </w:r>
      <w:hyperlink r:id="rId14" w:history="1">
        <w:r w:rsidRPr="006F6679">
          <w:rPr>
            <w:rStyle w:val="Hyperlink"/>
            <w:sz w:val="20"/>
            <w:lang w:val="de-DE"/>
          </w:rPr>
          <w:t>press@meyle.com</w:t>
        </w:r>
      </w:hyperlink>
    </w:p>
    <w:p w14:paraId="74002E5B" w14:textId="77777777" w:rsidR="00BB2014" w:rsidRPr="006F6679" w:rsidRDefault="00BB2014" w:rsidP="00BB2014">
      <w:pPr>
        <w:spacing w:line="360" w:lineRule="auto"/>
        <w:jc w:val="both"/>
        <w:rPr>
          <w:rFonts w:cs="Arial"/>
          <w:b/>
          <w:sz w:val="20"/>
          <w:szCs w:val="22"/>
          <w:lang w:val="de-DE"/>
        </w:rPr>
      </w:pPr>
    </w:p>
    <w:p w14:paraId="553AE1EF" w14:textId="77777777" w:rsidR="00FF2542" w:rsidRPr="009C37CC" w:rsidRDefault="00FF2542" w:rsidP="00FF2542">
      <w:pPr>
        <w:spacing w:line="360" w:lineRule="auto"/>
        <w:rPr>
          <w:rFonts w:eastAsiaTheme="minorHAnsi" w:cs="Arial"/>
          <w:b/>
          <w:sz w:val="20"/>
          <w:szCs w:val="20"/>
          <w:lang w:eastAsia="ja-JP"/>
        </w:rPr>
      </w:pPr>
      <w:r w:rsidRPr="009C37CC">
        <w:rPr>
          <w:rFonts w:eastAsiaTheme="minorHAnsi" w:cs="Arial"/>
          <w:b/>
          <w:sz w:val="20"/>
          <w:szCs w:val="20"/>
          <w:lang w:eastAsia="ja-JP"/>
        </w:rPr>
        <w:t>À propos de l’entreprise</w:t>
      </w:r>
    </w:p>
    <w:p w14:paraId="4EFA7CA4" w14:textId="77777777" w:rsidR="00FF2542" w:rsidRPr="009C37CC" w:rsidRDefault="00FF2542" w:rsidP="00FF2542">
      <w:pPr>
        <w:spacing w:after="240" w:line="360" w:lineRule="auto"/>
        <w:jc w:val="both"/>
        <w:rPr>
          <w:rFonts w:cs="Arial"/>
          <w:b/>
          <w:sz w:val="20"/>
          <w:szCs w:val="22"/>
        </w:rPr>
      </w:pPr>
      <w:r w:rsidRPr="009C37CC">
        <w:rPr>
          <w:rFonts w:cs="Arial"/>
          <w:sz w:val="20"/>
          <w:szCs w:val="22"/>
        </w:rPr>
        <w:t xml:space="preserve">MEYLE AG est une entreprise de Wulf Gaertner </w:t>
      </w:r>
      <w:proofErr w:type="spellStart"/>
      <w:r w:rsidRPr="009C37CC">
        <w:rPr>
          <w:rFonts w:cs="Arial"/>
          <w:sz w:val="20"/>
          <w:szCs w:val="22"/>
        </w:rPr>
        <w:t>Autoparts</w:t>
      </w:r>
      <w:proofErr w:type="spellEnd"/>
      <w:r w:rsidRPr="009C37CC">
        <w:rPr>
          <w:rFonts w:cs="Arial"/>
          <w:sz w:val="20"/>
          <w:szCs w:val="22"/>
        </w:rPr>
        <w:t xml:space="preserve"> AG. </w:t>
      </w:r>
      <w:r w:rsidRPr="009C37CC">
        <w:rPr>
          <w:rFonts w:cs="Arial"/>
          <w:sz w:val="20"/>
          <w:szCs w:val="22"/>
        </w:rPr>
        <w:tab/>
        <w:t xml:space="preserve">  </w:t>
      </w:r>
      <w:r w:rsidRPr="009C37CC">
        <w:rPr>
          <w:rFonts w:cs="Arial"/>
          <w:sz w:val="20"/>
          <w:szCs w:val="22"/>
        </w:rPr>
        <w:tab/>
      </w:r>
      <w:r w:rsidRPr="009C37CC">
        <w:rPr>
          <w:rFonts w:cs="Arial"/>
          <w:sz w:val="20"/>
          <w:szCs w:val="22"/>
        </w:rPr>
        <w:tab/>
      </w:r>
      <w:r w:rsidRPr="009C37CC">
        <w:rPr>
          <w:rFonts w:cs="Arial"/>
          <w:sz w:val="20"/>
          <w:szCs w:val="22"/>
        </w:rPr>
        <w:tab/>
      </w:r>
      <w:r w:rsidRPr="009C37CC">
        <w:rPr>
          <w:rFonts w:cs="Arial"/>
          <w:sz w:val="20"/>
          <w:szCs w:val="22"/>
        </w:rPr>
        <w:tab/>
        <w:t xml:space="preserve">       La société MEYLE AG développe, produit et distribue sous la marque MEYLE des pièces de rechange de grande qualité pour le marché libre des pièces de rechange destinées aux voitures, camionnettes et utilitaires. Avec les trois gammes de produits MEYLE ORIGINAL, MEYLE PD et MEYLE HD, MEYLE offre des solutions et des pièces sur mesure pour chaque situation et pour chaque conducteur, du collaborateur d’atelier compétent à tous les conducteurs et conductrices du monde, en passant par l’ambitieuse pilote de rallye et l’amoureux des voitures de collection qui, tous, doivent pouvoir compter sur leur voiture. MEYLE propose à ses clients plus de 24 000 pièces de rechange fiables et permettant des kilométrages élevés, fabriquées dans ses propres usines et chez des partenaires de production sélectionnés. L’assurance d’un éventail d’articles MEYLE sophistiqués.</w:t>
      </w:r>
      <w:r w:rsidRPr="009C37CC">
        <w:rPr>
          <w:rFonts w:cs="Arial"/>
          <w:sz w:val="20"/>
          <w:szCs w:val="22"/>
        </w:rPr>
        <w:tab/>
        <w:t xml:space="preserve"> </w:t>
      </w:r>
    </w:p>
    <w:p w14:paraId="2955151C" w14:textId="77777777" w:rsidR="00744DCB" w:rsidRDefault="00FF2542" w:rsidP="00744DCB">
      <w:pPr>
        <w:spacing w:line="360" w:lineRule="auto"/>
        <w:jc w:val="both"/>
        <w:rPr>
          <w:rFonts w:cs="Arial"/>
          <w:sz w:val="20"/>
          <w:szCs w:val="22"/>
        </w:rPr>
      </w:pPr>
      <w:r w:rsidRPr="00FF2542">
        <w:rPr>
          <w:rFonts w:cs="Arial"/>
          <w:sz w:val="20"/>
          <w:szCs w:val="22"/>
        </w:rPr>
        <w:t>Près de 1 000 collaborateurs sont employés dans le réseau de l’entreprise, dont près de 500 à Hambourg, le centre logistique et le siège de notre entreprise. Nos partenaires commerciaux, ateliers et mécaniciens automobiles répartis dans 120 pays travaillent pour que les conducteurs puissent se fier à nos pièces et solutions de qualité optimale – c’est ainsi que MEYLE aide les garages à être le MEILLEUR AMI DU CONDUCTEUR.</w:t>
      </w:r>
    </w:p>
    <w:p w14:paraId="45C41E92" w14:textId="77777777" w:rsidR="00744DCB" w:rsidRDefault="00744DCB" w:rsidP="00744DCB">
      <w:pPr>
        <w:spacing w:line="360" w:lineRule="auto"/>
        <w:jc w:val="both"/>
        <w:rPr>
          <w:rFonts w:cs="Arial"/>
          <w:sz w:val="20"/>
          <w:szCs w:val="22"/>
        </w:rPr>
      </w:pPr>
    </w:p>
    <w:p w14:paraId="2572A8B1" w14:textId="40178958" w:rsidR="00FF2542" w:rsidRPr="00744DCB" w:rsidRDefault="00FF2542" w:rsidP="00744DCB">
      <w:pPr>
        <w:spacing w:after="240" w:line="360" w:lineRule="auto"/>
        <w:jc w:val="both"/>
        <w:rPr>
          <w:rFonts w:cs="Arial"/>
          <w:sz w:val="20"/>
          <w:szCs w:val="22"/>
        </w:rPr>
      </w:pPr>
      <w:r w:rsidRPr="00BD2209">
        <w:rPr>
          <w:rFonts w:eastAsiaTheme="minorHAnsi" w:cs="Arial"/>
          <w:b/>
          <w:sz w:val="20"/>
          <w:szCs w:val="20"/>
          <w:lang w:eastAsia="ja-JP"/>
        </w:rPr>
        <w:t>MEYLE et durabilité</w:t>
      </w:r>
      <w:r w:rsidRPr="00BD2209">
        <w:rPr>
          <w:rFonts w:eastAsiaTheme="minorHAnsi" w:cs="Arial"/>
          <w:b/>
          <w:sz w:val="20"/>
          <w:szCs w:val="20"/>
          <w:lang w:eastAsia="ja-JP"/>
        </w:rPr>
        <w:tab/>
      </w:r>
      <w:r w:rsidRPr="00BD2209">
        <w:rPr>
          <w:rFonts w:eastAsiaTheme="minorHAnsi" w:cs="Arial"/>
          <w:b/>
          <w:sz w:val="20"/>
          <w:szCs w:val="20"/>
          <w:lang w:eastAsia="ja-JP"/>
        </w:rPr>
        <w:br/>
      </w:r>
      <w:r w:rsidRPr="00BD2209">
        <w:rPr>
          <w:rFonts w:eastAsiaTheme="minorHAnsi" w:cs="Arial"/>
          <w:sz w:val="20"/>
          <w:szCs w:val="20"/>
          <w:lang w:eastAsia="ja-JP"/>
        </w:rPr>
        <w:t xml:space="preserve">Le siège de MEYLE à Hambourg est certifié neutre en CO2 par l’organisation à but non lucratif «Klima </w:t>
      </w:r>
      <w:proofErr w:type="spellStart"/>
      <w:r w:rsidRPr="00BD2209">
        <w:rPr>
          <w:rFonts w:eastAsiaTheme="minorHAnsi" w:cs="Arial"/>
          <w:sz w:val="20"/>
          <w:szCs w:val="20"/>
          <w:lang w:eastAsia="ja-JP"/>
        </w:rPr>
        <w:t>ohne</w:t>
      </w:r>
      <w:proofErr w:type="spellEnd"/>
      <w:r w:rsidRPr="00BD2209">
        <w:rPr>
          <w:rFonts w:eastAsiaTheme="minorHAnsi" w:cs="Arial"/>
          <w:sz w:val="20"/>
          <w:szCs w:val="20"/>
          <w:lang w:eastAsia="ja-JP"/>
        </w:rPr>
        <w:t xml:space="preserve"> </w:t>
      </w:r>
      <w:proofErr w:type="spellStart"/>
      <w:r w:rsidRPr="00BD2209">
        <w:rPr>
          <w:rFonts w:eastAsiaTheme="minorHAnsi" w:cs="Arial"/>
          <w:sz w:val="20"/>
          <w:szCs w:val="20"/>
          <w:lang w:eastAsia="ja-JP"/>
        </w:rPr>
        <w:t>Grenzen</w:t>
      </w:r>
      <w:proofErr w:type="spellEnd"/>
      <w:r w:rsidRPr="00BD2209">
        <w:rPr>
          <w:rFonts w:eastAsiaTheme="minorHAnsi" w:cs="Arial"/>
          <w:sz w:val="20"/>
          <w:szCs w:val="20"/>
          <w:lang w:eastAsia="ja-JP"/>
        </w:rPr>
        <w:t>» (</w:t>
      </w:r>
      <w:proofErr w:type="spellStart"/>
      <w:r w:rsidRPr="00BD2209">
        <w:rPr>
          <w:rFonts w:eastAsiaTheme="minorHAnsi" w:cs="Arial"/>
          <w:sz w:val="20"/>
          <w:szCs w:val="20"/>
          <w:lang w:eastAsia="ja-JP"/>
        </w:rPr>
        <w:t>Climate</w:t>
      </w:r>
      <w:proofErr w:type="spellEnd"/>
      <w:r w:rsidRPr="00BD2209">
        <w:rPr>
          <w:rFonts w:eastAsiaTheme="minorHAnsi" w:cs="Arial"/>
          <w:sz w:val="20"/>
          <w:szCs w:val="20"/>
          <w:lang w:eastAsia="ja-JP"/>
        </w:rPr>
        <w:t xml:space="preserve"> </w:t>
      </w:r>
      <w:proofErr w:type="spellStart"/>
      <w:r w:rsidRPr="00BD2209">
        <w:rPr>
          <w:rFonts w:eastAsiaTheme="minorHAnsi" w:cs="Arial"/>
          <w:sz w:val="20"/>
          <w:szCs w:val="20"/>
          <w:lang w:eastAsia="ja-JP"/>
        </w:rPr>
        <w:t>without</w:t>
      </w:r>
      <w:proofErr w:type="spellEnd"/>
      <w:r w:rsidRPr="00BD2209">
        <w:rPr>
          <w:rFonts w:eastAsiaTheme="minorHAnsi" w:cs="Arial"/>
          <w:sz w:val="20"/>
          <w:szCs w:val="20"/>
          <w:lang w:eastAsia="ja-JP"/>
        </w:rPr>
        <w:t xml:space="preserve"> </w:t>
      </w:r>
      <w:proofErr w:type="spellStart"/>
      <w:r w:rsidRPr="00BD2209">
        <w:rPr>
          <w:rFonts w:eastAsiaTheme="minorHAnsi" w:cs="Arial"/>
          <w:sz w:val="20"/>
          <w:szCs w:val="20"/>
          <w:lang w:eastAsia="ja-JP"/>
        </w:rPr>
        <w:t>Borders</w:t>
      </w:r>
      <w:proofErr w:type="spellEnd"/>
      <w:r w:rsidRPr="00BD2209">
        <w:rPr>
          <w:rFonts w:eastAsiaTheme="minorHAnsi" w:cs="Arial"/>
          <w:sz w:val="20"/>
          <w:szCs w:val="20"/>
          <w:lang w:eastAsia="ja-JP"/>
        </w:rPr>
        <w:t xml:space="preserve">). Pour compenser les émissions, nous avons fait des dons à deux projets de protection du climat certifiés Gold Standard en Afrique : pour des fours basse-consommations en Ouganda et pour de l’électricité produite par l’énergie hydraulique en Tanzanie. </w:t>
      </w:r>
    </w:p>
    <w:p w14:paraId="3ABE5D33" w14:textId="77777777" w:rsidR="00FF2542" w:rsidRPr="00BD2209" w:rsidRDefault="00FF2542" w:rsidP="00FF2542">
      <w:pPr>
        <w:spacing w:line="360" w:lineRule="auto"/>
        <w:contextualSpacing/>
        <w:rPr>
          <w:rFonts w:ascii="Arial (W1)" w:eastAsiaTheme="minorHAnsi" w:hAnsi="Arial (W1)"/>
          <w:b/>
          <w:bCs/>
          <w:sz w:val="20"/>
          <w:szCs w:val="20"/>
          <w:lang w:eastAsia="ja-JP"/>
        </w:rPr>
      </w:pPr>
      <w:r w:rsidRPr="007D45D0">
        <w:rPr>
          <w:rFonts w:eastAsiaTheme="minorHAnsi"/>
          <w:noProof/>
          <w:sz w:val="20"/>
          <w:szCs w:val="20"/>
        </w:rPr>
        <w:drawing>
          <wp:anchor distT="0" distB="0" distL="114300" distR="114300" simplePos="0" relativeHeight="251658241" behindDoc="0" locked="0" layoutInCell="1" allowOverlap="1" wp14:anchorId="35E6DD36" wp14:editId="74C13595">
            <wp:simplePos x="0" y="0"/>
            <wp:positionH relativeFrom="column">
              <wp:posOffset>1891030</wp:posOffset>
            </wp:positionH>
            <wp:positionV relativeFrom="paragraph">
              <wp:posOffset>107950</wp:posOffset>
            </wp:positionV>
            <wp:extent cx="2408400" cy="414000"/>
            <wp:effectExtent l="0" t="0" r="0" b="5715"/>
            <wp:wrapSquare wrapText="bothSides"/>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8400" cy="41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5D0">
        <w:rPr>
          <w:rFonts w:ascii="Arial (W1)" w:eastAsiaTheme="minorHAnsi" w:hAnsi="Arial (W1)"/>
          <w:noProof/>
          <w:sz w:val="20"/>
          <w:szCs w:val="20"/>
          <w:lang w:val="en-US" w:eastAsia="ja-JP"/>
        </w:rPr>
        <w:drawing>
          <wp:anchor distT="0" distB="0" distL="114300" distR="114300" simplePos="0" relativeHeight="251658240" behindDoc="0" locked="0" layoutInCell="1" allowOverlap="1" wp14:anchorId="33319495" wp14:editId="101DF0EC">
            <wp:simplePos x="0" y="0"/>
            <wp:positionH relativeFrom="column">
              <wp:posOffset>35708</wp:posOffset>
            </wp:positionH>
            <wp:positionV relativeFrom="paragraph">
              <wp:posOffset>109575</wp:posOffset>
            </wp:positionV>
            <wp:extent cx="1770279" cy="597724"/>
            <wp:effectExtent l="0" t="0" r="190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0279" cy="597724"/>
                    </a:xfrm>
                    <a:prstGeom prst="rect">
                      <a:avLst/>
                    </a:prstGeom>
                    <a:noFill/>
                    <a:ln>
                      <a:noFill/>
                    </a:ln>
                  </pic:spPr>
                </pic:pic>
              </a:graphicData>
            </a:graphic>
          </wp:anchor>
        </w:drawing>
      </w:r>
    </w:p>
    <w:p w14:paraId="340A51A2" w14:textId="77777777" w:rsidR="00FF2542" w:rsidRPr="00BD2209" w:rsidRDefault="00FF2542" w:rsidP="00FF2542">
      <w:pPr>
        <w:spacing w:line="360" w:lineRule="auto"/>
        <w:rPr>
          <w:rFonts w:ascii="Arial (W1)" w:eastAsiaTheme="minorHAnsi" w:hAnsi="Arial (W1)"/>
          <w:b/>
          <w:sz w:val="20"/>
          <w:szCs w:val="20"/>
          <w:lang w:eastAsia="ja-JP"/>
        </w:rPr>
      </w:pPr>
    </w:p>
    <w:p w14:paraId="0AEA811B" w14:textId="77777777" w:rsidR="00FF2542" w:rsidRPr="00BD2209" w:rsidRDefault="00FF2542" w:rsidP="00FF2542">
      <w:pPr>
        <w:spacing w:line="360" w:lineRule="auto"/>
        <w:rPr>
          <w:rFonts w:ascii="Arial (W1)" w:eastAsiaTheme="minorHAnsi" w:hAnsi="Arial (W1)"/>
          <w:b/>
          <w:sz w:val="20"/>
          <w:szCs w:val="20"/>
          <w:lang w:eastAsia="ja-JP"/>
        </w:rPr>
      </w:pPr>
    </w:p>
    <w:p w14:paraId="6167A6B3" w14:textId="77777777" w:rsidR="00FF2542" w:rsidRPr="00BD2209" w:rsidRDefault="00FF2542" w:rsidP="00FF2542">
      <w:pPr>
        <w:spacing w:line="360" w:lineRule="auto"/>
        <w:rPr>
          <w:rFonts w:ascii="Arial (W1)" w:eastAsiaTheme="minorHAnsi" w:hAnsi="Arial (W1)"/>
          <w:b/>
          <w:sz w:val="20"/>
          <w:szCs w:val="20"/>
          <w:lang w:eastAsia="ja-JP"/>
        </w:rPr>
      </w:pPr>
    </w:p>
    <w:p w14:paraId="6072FC37" w14:textId="77777777" w:rsidR="00FF2542" w:rsidRPr="009C37CC" w:rsidRDefault="00FF2542" w:rsidP="00FF2542">
      <w:pPr>
        <w:spacing w:line="360" w:lineRule="auto"/>
        <w:rPr>
          <w:rFonts w:ascii="Arial (W1)" w:eastAsiaTheme="minorHAnsi" w:hAnsi="Arial (W1)"/>
          <w:b/>
          <w:sz w:val="20"/>
          <w:szCs w:val="20"/>
          <w:lang w:eastAsia="ja-JP"/>
        </w:rPr>
      </w:pPr>
      <w:r w:rsidRPr="009C37CC">
        <w:rPr>
          <w:rFonts w:ascii="Arial (W1)" w:eastAsiaTheme="minorHAnsi" w:hAnsi="Arial (W1)"/>
          <w:b/>
          <w:sz w:val="20"/>
          <w:szCs w:val="20"/>
          <w:lang w:eastAsia="ja-JP"/>
        </w:rPr>
        <w:t xml:space="preserve">N'hésitez pas à nous suivre sur les réseaux sociaux: </w:t>
      </w:r>
      <w:hyperlink r:id="rId17" w:history="1">
        <w:r w:rsidRPr="009C37CC">
          <w:rPr>
            <w:rFonts w:ascii="Arial (W1)" w:eastAsiaTheme="minorHAnsi" w:hAnsi="Arial (W1)"/>
            <w:b/>
            <w:color w:val="0000FF"/>
            <w:sz w:val="20"/>
            <w:szCs w:val="20"/>
            <w:u w:val="single"/>
          </w:rPr>
          <w:t>Instagram</w:t>
        </w:r>
      </w:hyperlink>
      <w:r w:rsidRPr="009C37CC">
        <w:rPr>
          <w:rFonts w:ascii="Arial (W1)" w:eastAsiaTheme="minorHAnsi" w:hAnsi="Arial (W1)"/>
          <w:b/>
          <w:sz w:val="20"/>
          <w:szCs w:val="20"/>
          <w:lang w:eastAsia="ja-JP"/>
        </w:rPr>
        <w:t xml:space="preserve">, </w:t>
      </w:r>
      <w:hyperlink r:id="rId18" w:history="1">
        <w:r w:rsidRPr="009C37CC">
          <w:rPr>
            <w:rFonts w:ascii="Arial (W1)" w:eastAsiaTheme="minorHAnsi" w:hAnsi="Arial (W1)"/>
            <w:b/>
            <w:color w:val="0000FF"/>
            <w:sz w:val="20"/>
            <w:szCs w:val="20"/>
            <w:u w:val="single"/>
          </w:rPr>
          <w:t>Facebook</w:t>
        </w:r>
      </w:hyperlink>
      <w:r w:rsidRPr="009C37CC">
        <w:rPr>
          <w:rFonts w:ascii="Arial (W1)" w:eastAsiaTheme="minorHAnsi" w:hAnsi="Arial (W1)"/>
          <w:b/>
          <w:sz w:val="20"/>
          <w:szCs w:val="20"/>
          <w:lang w:eastAsia="ja-JP"/>
        </w:rPr>
        <w:t xml:space="preserve">, </w:t>
      </w:r>
      <w:hyperlink r:id="rId19" w:history="1">
        <w:r w:rsidRPr="009C37CC">
          <w:rPr>
            <w:rFonts w:ascii="Arial (W1)" w:eastAsiaTheme="minorHAnsi" w:hAnsi="Arial (W1)"/>
            <w:b/>
            <w:color w:val="0000FF"/>
            <w:sz w:val="20"/>
            <w:szCs w:val="20"/>
            <w:u w:val="single"/>
          </w:rPr>
          <w:t>LinkedIn</w:t>
        </w:r>
      </w:hyperlink>
      <w:r w:rsidRPr="009C37CC">
        <w:rPr>
          <w:rFonts w:ascii="Arial (W1)" w:eastAsiaTheme="minorHAnsi" w:hAnsi="Arial (W1)"/>
          <w:b/>
          <w:sz w:val="20"/>
          <w:szCs w:val="20"/>
          <w:lang w:eastAsia="ja-JP"/>
        </w:rPr>
        <w:t xml:space="preserve"> et </w:t>
      </w:r>
      <w:hyperlink r:id="rId20" w:history="1">
        <w:r w:rsidRPr="009C37CC">
          <w:rPr>
            <w:rFonts w:ascii="Arial (W1)" w:eastAsiaTheme="minorHAnsi" w:hAnsi="Arial (W1)"/>
            <w:b/>
            <w:color w:val="0000FF"/>
            <w:sz w:val="20"/>
            <w:szCs w:val="20"/>
            <w:u w:val="single"/>
          </w:rPr>
          <w:t>YouTube</w:t>
        </w:r>
      </w:hyperlink>
      <w:r w:rsidRPr="009C37CC">
        <w:rPr>
          <w:rFonts w:ascii="Arial (W1)" w:eastAsiaTheme="minorHAnsi" w:hAnsi="Arial (W1)"/>
          <w:b/>
          <w:sz w:val="20"/>
          <w:szCs w:val="20"/>
          <w:lang w:eastAsia="ja-JP"/>
        </w:rPr>
        <w:t>.</w:t>
      </w:r>
    </w:p>
    <w:p w14:paraId="3642A5FE" w14:textId="77777777" w:rsidR="00FF2542" w:rsidRPr="009C37CC" w:rsidRDefault="00FF2542" w:rsidP="00FF2542">
      <w:pPr>
        <w:spacing w:line="360" w:lineRule="auto"/>
        <w:rPr>
          <w:rFonts w:ascii="Arial (W1)" w:eastAsiaTheme="minorHAnsi" w:hAnsi="Arial (W1)"/>
          <w:b/>
          <w:sz w:val="20"/>
          <w:szCs w:val="20"/>
          <w:lang w:eastAsia="ja-JP"/>
        </w:rPr>
      </w:pPr>
    </w:p>
    <w:p w14:paraId="4662D309" w14:textId="5846E44C" w:rsidR="00265C95" w:rsidRPr="00FF2542" w:rsidRDefault="00265C95" w:rsidP="00FF2542">
      <w:pPr>
        <w:jc w:val="both"/>
        <w:rPr>
          <w:rFonts w:cs="Arial"/>
          <w:bCs/>
          <w:szCs w:val="23"/>
        </w:rPr>
      </w:pPr>
    </w:p>
    <w:sectPr w:rsidR="00265C95" w:rsidRPr="00FF2542" w:rsidSect="006D082C">
      <w:headerReference w:type="default" r:id="rId21"/>
      <w:footerReference w:type="default" r:id="rId2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96F8" w14:textId="77777777" w:rsidR="006403ED" w:rsidRDefault="006403ED" w:rsidP="00D621B4">
      <w:r>
        <w:separator/>
      </w:r>
    </w:p>
  </w:endnote>
  <w:endnote w:type="continuationSeparator" w:id="0">
    <w:p w14:paraId="320D8F13" w14:textId="77777777" w:rsidR="006403ED" w:rsidRDefault="006403ED" w:rsidP="00D621B4">
      <w:r>
        <w:continuationSeparator/>
      </w:r>
    </w:p>
  </w:endnote>
  <w:endnote w:type="continuationNotice" w:id="1">
    <w:p w14:paraId="40BE4705" w14:textId="77777777" w:rsidR="006403ED" w:rsidRDefault="00640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2F9E" w14:textId="77777777" w:rsidR="00D621B4" w:rsidRDefault="6B15BF6F">
    <w:pPr>
      <w:pStyle w:val="Fuzeile"/>
    </w:pPr>
    <w:r>
      <w:rPr>
        <w:noProof/>
      </w:rPr>
      <w:drawing>
        <wp:inline distT="0" distB="0" distL="0" distR="0" wp14:anchorId="4462B045" wp14:editId="1911222F">
          <wp:extent cx="5760720" cy="618399"/>
          <wp:effectExtent l="19050" t="0" r="0" b="0"/>
          <wp:docPr id="15"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231DE" w14:textId="77777777" w:rsidR="006403ED" w:rsidRDefault="006403ED" w:rsidP="00D621B4">
      <w:r>
        <w:separator/>
      </w:r>
    </w:p>
  </w:footnote>
  <w:footnote w:type="continuationSeparator" w:id="0">
    <w:p w14:paraId="5ACD8ECC" w14:textId="77777777" w:rsidR="006403ED" w:rsidRDefault="006403ED" w:rsidP="00D621B4">
      <w:r>
        <w:continuationSeparator/>
      </w:r>
    </w:p>
  </w:footnote>
  <w:footnote w:type="continuationNotice" w:id="1">
    <w:p w14:paraId="6C7DC8A7" w14:textId="77777777" w:rsidR="006403ED" w:rsidRDefault="006403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1BFD" w14:textId="77777777" w:rsidR="00D621B4" w:rsidRDefault="6B15BF6F">
    <w:pPr>
      <w:pStyle w:val="Kopfzeile"/>
    </w:pPr>
    <w:r>
      <w:rPr>
        <w:noProof/>
      </w:rPr>
      <w:drawing>
        <wp:inline distT="0" distB="0" distL="0" distR="0" wp14:anchorId="47F4E22D" wp14:editId="1BCC5866">
          <wp:extent cx="5743070" cy="1033145"/>
          <wp:effectExtent l="0" t="0" r="0" b="0"/>
          <wp:docPr id="14"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43070" cy="1033145"/>
                  </a:xfrm>
                  <a:prstGeom prst="rect">
                    <a:avLst/>
                  </a:prstGeom>
                </pic:spPr>
              </pic:pic>
            </a:graphicData>
          </a:graphic>
        </wp:inline>
      </w:drawing>
    </w:r>
  </w:p>
  <w:p w14:paraId="602B8A5B" w14:textId="77777777" w:rsidR="00767A02" w:rsidRDefault="00767A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DB0"/>
    <w:multiLevelType w:val="multilevel"/>
    <w:tmpl w:val="EE689C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4"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74418399">
    <w:abstractNumId w:val="11"/>
  </w:num>
  <w:num w:numId="2" w16cid:durableId="7574122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0090325">
    <w:abstractNumId w:val="4"/>
  </w:num>
  <w:num w:numId="4" w16cid:durableId="797603781">
    <w:abstractNumId w:val="7"/>
  </w:num>
  <w:num w:numId="5" w16cid:durableId="85271952">
    <w:abstractNumId w:val="9"/>
  </w:num>
  <w:num w:numId="6" w16cid:durableId="963192291">
    <w:abstractNumId w:val="10"/>
  </w:num>
  <w:num w:numId="7" w16cid:durableId="598803367">
    <w:abstractNumId w:val="2"/>
  </w:num>
  <w:num w:numId="8" w16cid:durableId="1356150731">
    <w:abstractNumId w:val="5"/>
  </w:num>
  <w:num w:numId="9" w16cid:durableId="781607779">
    <w:abstractNumId w:val="1"/>
  </w:num>
  <w:num w:numId="10" w16cid:durableId="661200976">
    <w:abstractNumId w:val="3"/>
  </w:num>
  <w:num w:numId="11" w16cid:durableId="1716735325">
    <w:abstractNumId w:val="8"/>
  </w:num>
  <w:num w:numId="12" w16cid:durableId="461114339">
    <w:abstractNumId w:val="14"/>
  </w:num>
  <w:num w:numId="13" w16cid:durableId="825241867">
    <w:abstractNumId w:val="6"/>
  </w:num>
  <w:num w:numId="14" w16cid:durableId="667102484">
    <w:abstractNumId w:val="12"/>
  </w:num>
  <w:num w:numId="15" w16cid:durableId="65618187">
    <w:abstractNumId w:val="15"/>
  </w:num>
  <w:num w:numId="16" w16cid:durableId="2108310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6D"/>
    <w:rsid w:val="00000971"/>
    <w:rsid w:val="00001475"/>
    <w:rsid w:val="00001F59"/>
    <w:rsid w:val="0000396E"/>
    <w:rsid w:val="0001096C"/>
    <w:rsid w:val="00020CF3"/>
    <w:rsid w:val="00030A8B"/>
    <w:rsid w:val="000339BF"/>
    <w:rsid w:val="00045580"/>
    <w:rsid w:val="0005005D"/>
    <w:rsid w:val="0005433B"/>
    <w:rsid w:val="0006013C"/>
    <w:rsid w:val="000758B6"/>
    <w:rsid w:val="00076652"/>
    <w:rsid w:val="00082800"/>
    <w:rsid w:val="000829F9"/>
    <w:rsid w:val="000865C1"/>
    <w:rsid w:val="00087581"/>
    <w:rsid w:val="0009381C"/>
    <w:rsid w:val="0009436A"/>
    <w:rsid w:val="000B1536"/>
    <w:rsid w:val="000B2BBE"/>
    <w:rsid w:val="000C07AB"/>
    <w:rsid w:val="000D5C32"/>
    <w:rsid w:val="00116FBE"/>
    <w:rsid w:val="00117FB6"/>
    <w:rsid w:val="001466CE"/>
    <w:rsid w:val="00157C74"/>
    <w:rsid w:val="00163668"/>
    <w:rsid w:val="00164810"/>
    <w:rsid w:val="001659A8"/>
    <w:rsid w:val="00167F90"/>
    <w:rsid w:val="001836BE"/>
    <w:rsid w:val="0018670D"/>
    <w:rsid w:val="00191598"/>
    <w:rsid w:val="001A0048"/>
    <w:rsid w:val="001A5CF5"/>
    <w:rsid w:val="001A709E"/>
    <w:rsid w:val="001B1434"/>
    <w:rsid w:val="001B292C"/>
    <w:rsid w:val="001B3207"/>
    <w:rsid w:val="001C0DEB"/>
    <w:rsid w:val="001C6875"/>
    <w:rsid w:val="001E65FA"/>
    <w:rsid w:val="001E7BD3"/>
    <w:rsid w:val="001F28D5"/>
    <w:rsid w:val="001F567E"/>
    <w:rsid w:val="001F6125"/>
    <w:rsid w:val="0022633D"/>
    <w:rsid w:val="00226CBC"/>
    <w:rsid w:val="00237767"/>
    <w:rsid w:val="00245A56"/>
    <w:rsid w:val="00250B1E"/>
    <w:rsid w:val="00260D2F"/>
    <w:rsid w:val="00265C95"/>
    <w:rsid w:val="00272920"/>
    <w:rsid w:val="00272E3E"/>
    <w:rsid w:val="0028039F"/>
    <w:rsid w:val="0028101B"/>
    <w:rsid w:val="00282C7C"/>
    <w:rsid w:val="00290BBF"/>
    <w:rsid w:val="002A5A4B"/>
    <w:rsid w:val="002B2B81"/>
    <w:rsid w:val="002B3568"/>
    <w:rsid w:val="002B3901"/>
    <w:rsid w:val="002B451A"/>
    <w:rsid w:val="002B766D"/>
    <w:rsid w:val="002C3915"/>
    <w:rsid w:val="002C4ACB"/>
    <w:rsid w:val="002D1AE1"/>
    <w:rsid w:val="002D2C0A"/>
    <w:rsid w:val="002D5205"/>
    <w:rsid w:val="002E1736"/>
    <w:rsid w:val="002E5F01"/>
    <w:rsid w:val="002F4FA4"/>
    <w:rsid w:val="00302ADF"/>
    <w:rsid w:val="0031010A"/>
    <w:rsid w:val="003142A2"/>
    <w:rsid w:val="00317B56"/>
    <w:rsid w:val="00326CC1"/>
    <w:rsid w:val="00327284"/>
    <w:rsid w:val="0033791E"/>
    <w:rsid w:val="003379A6"/>
    <w:rsid w:val="0034694B"/>
    <w:rsid w:val="00347684"/>
    <w:rsid w:val="003608A8"/>
    <w:rsid w:val="00362129"/>
    <w:rsid w:val="00362BAC"/>
    <w:rsid w:val="00365090"/>
    <w:rsid w:val="00371176"/>
    <w:rsid w:val="003719D7"/>
    <w:rsid w:val="00376764"/>
    <w:rsid w:val="00394618"/>
    <w:rsid w:val="00394C28"/>
    <w:rsid w:val="003962F3"/>
    <w:rsid w:val="003A1EF2"/>
    <w:rsid w:val="003B06B9"/>
    <w:rsid w:val="003D674E"/>
    <w:rsid w:val="003D74AE"/>
    <w:rsid w:val="003E1CBB"/>
    <w:rsid w:val="003E7AF5"/>
    <w:rsid w:val="003F27DA"/>
    <w:rsid w:val="003F6AC3"/>
    <w:rsid w:val="0040728B"/>
    <w:rsid w:val="0041337A"/>
    <w:rsid w:val="004218D7"/>
    <w:rsid w:val="00422B16"/>
    <w:rsid w:val="00425853"/>
    <w:rsid w:val="00447427"/>
    <w:rsid w:val="0045508C"/>
    <w:rsid w:val="00460F13"/>
    <w:rsid w:val="0046360F"/>
    <w:rsid w:val="0046699B"/>
    <w:rsid w:val="00466A2C"/>
    <w:rsid w:val="00483895"/>
    <w:rsid w:val="0049307C"/>
    <w:rsid w:val="004A3D1A"/>
    <w:rsid w:val="004B5CDE"/>
    <w:rsid w:val="004D2AE5"/>
    <w:rsid w:val="004F0B27"/>
    <w:rsid w:val="004F0DFB"/>
    <w:rsid w:val="004F2526"/>
    <w:rsid w:val="004F57E5"/>
    <w:rsid w:val="004F623A"/>
    <w:rsid w:val="004F6538"/>
    <w:rsid w:val="00505BBE"/>
    <w:rsid w:val="00512022"/>
    <w:rsid w:val="005123B4"/>
    <w:rsid w:val="00512D88"/>
    <w:rsid w:val="00516D12"/>
    <w:rsid w:val="0053230B"/>
    <w:rsid w:val="00534AE3"/>
    <w:rsid w:val="00534EF6"/>
    <w:rsid w:val="005476B8"/>
    <w:rsid w:val="005502E4"/>
    <w:rsid w:val="005563A9"/>
    <w:rsid w:val="00564853"/>
    <w:rsid w:val="00570069"/>
    <w:rsid w:val="00573E4F"/>
    <w:rsid w:val="00574190"/>
    <w:rsid w:val="00574F45"/>
    <w:rsid w:val="0058556B"/>
    <w:rsid w:val="00587D72"/>
    <w:rsid w:val="005A0DC6"/>
    <w:rsid w:val="005A30DE"/>
    <w:rsid w:val="005A7A33"/>
    <w:rsid w:val="005B0BDF"/>
    <w:rsid w:val="005C0379"/>
    <w:rsid w:val="005D4734"/>
    <w:rsid w:val="005E062C"/>
    <w:rsid w:val="005F3A18"/>
    <w:rsid w:val="005F3A2A"/>
    <w:rsid w:val="005F53B6"/>
    <w:rsid w:val="00600FB0"/>
    <w:rsid w:val="00612F09"/>
    <w:rsid w:val="0062003D"/>
    <w:rsid w:val="006270AF"/>
    <w:rsid w:val="00635794"/>
    <w:rsid w:val="0063683B"/>
    <w:rsid w:val="006377E7"/>
    <w:rsid w:val="00637F1B"/>
    <w:rsid w:val="006403ED"/>
    <w:rsid w:val="0064338F"/>
    <w:rsid w:val="006477DD"/>
    <w:rsid w:val="00653558"/>
    <w:rsid w:val="00661CAB"/>
    <w:rsid w:val="00665573"/>
    <w:rsid w:val="006716AE"/>
    <w:rsid w:val="00677205"/>
    <w:rsid w:val="006A3D1F"/>
    <w:rsid w:val="006D082C"/>
    <w:rsid w:val="006D4F7F"/>
    <w:rsid w:val="006D6005"/>
    <w:rsid w:val="006E07A7"/>
    <w:rsid w:val="006F6679"/>
    <w:rsid w:val="0072111A"/>
    <w:rsid w:val="007271C8"/>
    <w:rsid w:val="00727A0F"/>
    <w:rsid w:val="00730E49"/>
    <w:rsid w:val="00731384"/>
    <w:rsid w:val="00733D0B"/>
    <w:rsid w:val="007350F5"/>
    <w:rsid w:val="007407F2"/>
    <w:rsid w:val="00743719"/>
    <w:rsid w:val="00744DCB"/>
    <w:rsid w:val="00754EB2"/>
    <w:rsid w:val="007643BB"/>
    <w:rsid w:val="00765386"/>
    <w:rsid w:val="00767A02"/>
    <w:rsid w:val="00772126"/>
    <w:rsid w:val="00776A1F"/>
    <w:rsid w:val="00780D8D"/>
    <w:rsid w:val="007825AE"/>
    <w:rsid w:val="00790F6C"/>
    <w:rsid w:val="007A2A6B"/>
    <w:rsid w:val="007A411A"/>
    <w:rsid w:val="007A450A"/>
    <w:rsid w:val="007B49FD"/>
    <w:rsid w:val="007B6A23"/>
    <w:rsid w:val="007D5921"/>
    <w:rsid w:val="007D6D2D"/>
    <w:rsid w:val="007E4C16"/>
    <w:rsid w:val="007E7F27"/>
    <w:rsid w:val="007F1A2F"/>
    <w:rsid w:val="007F3543"/>
    <w:rsid w:val="007F7FA7"/>
    <w:rsid w:val="00807236"/>
    <w:rsid w:val="00807868"/>
    <w:rsid w:val="00810A17"/>
    <w:rsid w:val="0081534D"/>
    <w:rsid w:val="008338BF"/>
    <w:rsid w:val="00840057"/>
    <w:rsid w:val="0084030C"/>
    <w:rsid w:val="00851025"/>
    <w:rsid w:val="00853DBC"/>
    <w:rsid w:val="00855DF8"/>
    <w:rsid w:val="0086099B"/>
    <w:rsid w:val="008668B3"/>
    <w:rsid w:val="00871668"/>
    <w:rsid w:val="008747E9"/>
    <w:rsid w:val="00881E0B"/>
    <w:rsid w:val="0088251F"/>
    <w:rsid w:val="00883A41"/>
    <w:rsid w:val="008968F9"/>
    <w:rsid w:val="008A591E"/>
    <w:rsid w:val="008A5BCB"/>
    <w:rsid w:val="008B608B"/>
    <w:rsid w:val="008B60EF"/>
    <w:rsid w:val="008B7052"/>
    <w:rsid w:val="008C5589"/>
    <w:rsid w:val="008D0E56"/>
    <w:rsid w:val="008D3EB8"/>
    <w:rsid w:val="008D5425"/>
    <w:rsid w:val="008E37D6"/>
    <w:rsid w:val="008E7195"/>
    <w:rsid w:val="008F0B99"/>
    <w:rsid w:val="0090051B"/>
    <w:rsid w:val="00913749"/>
    <w:rsid w:val="009139C9"/>
    <w:rsid w:val="0091533B"/>
    <w:rsid w:val="00915E8E"/>
    <w:rsid w:val="00916C38"/>
    <w:rsid w:val="00920A0C"/>
    <w:rsid w:val="009220FD"/>
    <w:rsid w:val="00925048"/>
    <w:rsid w:val="009336C9"/>
    <w:rsid w:val="00935370"/>
    <w:rsid w:val="00941B61"/>
    <w:rsid w:val="009524B2"/>
    <w:rsid w:val="0096088A"/>
    <w:rsid w:val="00962676"/>
    <w:rsid w:val="00962FE0"/>
    <w:rsid w:val="009776E8"/>
    <w:rsid w:val="009971E8"/>
    <w:rsid w:val="009A4762"/>
    <w:rsid w:val="009A52B1"/>
    <w:rsid w:val="009A64E7"/>
    <w:rsid w:val="009D1B15"/>
    <w:rsid w:val="009D78F6"/>
    <w:rsid w:val="009E7F23"/>
    <w:rsid w:val="009F28B7"/>
    <w:rsid w:val="00A014C7"/>
    <w:rsid w:val="00A221ED"/>
    <w:rsid w:val="00A4165C"/>
    <w:rsid w:val="00A446F7"/>
    <w:rsid w:val="00A51249"/>
    <w:rsid w:val="00A52A3F"/>
    <w:rsid w:val="00A53B5D"/>
    <w:rsid w:val="00A579F8"/>
    <w:rsid w:val="00A70264"/>
    <w:rsid w:val="00A80725"/>
    <w:rsid w:val="00AB2A92"/>
    <w:rsid w:val="00AE1D95"/>
    <w:rsid w:val="00AF0E4E"/>
    <w:rsid w:val="00AF1B63"/>
    <w:rsid w:val="00AF2174"/>
    <w:rsid w:val="00AF2C9B"/>
    <w:rsid w:val="00AF73D0"/>
    <w:rsid w:val="00B04EE8"/>
    <w:rsid w:val="00B060D8"/>
    <w:rsid w:val="00B10279"/>
    <w:rsid w:val="00B105DE"/>
    <w:rsid w:val="00B1750B"/>
    <w:rsid w:val="00B22D7F"/>
    <w:rsid w:val="00B36071"/>
    <w:rsid w:val="00B42F02"/>
    <w:rsid w:val="00B44FD2"/>
    <w:rsid w:val="00B4505A"/>
    <w:rsid w:val="00B51C97"/>
    <w:rsid w:val="00B5531E"/>
    <w:rsid w:val="00B61EBA"/>
    <w:rsid w:val="00B73436"/>
    <w:rsid w:val="00B7575B"/>
    <w:rsid w:val="00B773B8"/>
    <w:rsid w:val="00B873B4"/>
    <w:rsid w:val="00BA1799"/>
    <w:rsid w:val="00BA2563"/>
    <w:rsid w:val="00BA3B62"/>
    <w:rsid w:val="00BA5053"/>
    <w:rsid w:val="00BA74DD"/>
    <w:rsid w:val="00BB2014"/>
    <w:rsid w:val="00BC5597"/>
    <w:rsid w:val="00BE04AC"/>
    <w:rsid w:val="00BE063A"/>
    <w:rsid w:val="00BF0291"/>
    <w:rsid w:val="00BF036B"/>
    <w:rsid w:val="00BF0879"/>
    <w:rsid w:val="00BF54CA"/>
    <w:rsid w:val="00C04A49"/>
    <w:rsid w:val="00C23A81"/>
    <w:rsid w:val="00C2541A"/>
    <w:rsid w:val="00C25E6A"/>
    <w:rsid w:val="00C261DD"/>
    <w:rsid w:val="00C34B62"/>
    <w:rsid w:val="00C34E83"/>
    <w:rsid w:val="00C3677F"/>
    <w:rsid w:val="00C3692F"/>
    <w:rsid w:val="00C54439"/>
    <w:rsid w:val="00C56C50"/>
    <w:rsid w:val="00C640AD"/>
    <w:rsid w:val="00C76222"/>
    <w:rsid w:val="00C77B86"/>
    <w:rsid w:val="00C86705"/>
    <w:rsid w:val="00C93CD0"/>
    <w:rsid w:val="00C957BB"/>
    <w:rsid w:val="00CA0088"/>
    <w:rsid w:val="00CA35A0"/>
    <w:rsid w:val="00CA72CC"/>
    <w:rsid w:val="00CB22C7"/>
    <w:rsid w:val="00CB23B6"/>
    <w:rsid w:val="00CB3DE0"/>
    <w:rsid w:val="00CB7C07"/>
    <w:rsid w:val="00CC0490"/>
    <w:rsid w:val="00CE174E"/>
    <w:rsid w:val="00CE3C38"/>
    <w:rsid w:val="00CF5AA4"/>
    <w:rsid w:val="00CF6283"/>
    <w:rsid w:val="00CF6A13"/>
    <w:rsid w:val="00D147B0"/>
    <w:rsid w:val="00D153B6"/>
    <w:rsid w:val="00D32172"/>
    <w:rsid w:val="00D33EE9"/>
    <w:rsid w:val="00D34C12"/>
    <w:rsid w:val="00D35A65"/>
    <w:rsid w:val="00D37375"/>
    <w:rsid w:val="00D378BE"/>
    <w:rsid w:val="00D429CC"/>
    <w:rsid w:val="00D51052"/>
    <w:rsid w:val="00D5287C"/>
    <w:rsid w:val="00D621B4"/>
    <w:rsid w:val="00D70CB2"/>
    <w:rsid w:val="00D70E45"/>
    <w:rsid w:val="00D70ED4"/>
    <w:rsid w:val="00D72C89"/>
    <w:rsid w:val="00D73140"/>
    <w:rsid w:val="00D83E4B"/>
    <w:rsid w:val="00D901C1"/>
    <w:rsid w:val="00D91DE0"/>
    <w:rsid w:val="00DA1B13"/>
    <w:rsid w:val="00DA3503"/>
    <w:rsid w:val="00DA6E9B"/>
    <w:rsid w:val="00DB2180"/>
    <w:rsid w:val="00DB634B"/>
    <w:rsid w:val="00DC0996"/>
    <w:rsid w:val="00DD242F"/>
    <w:rsid w:val="00DE0322"/>
    <w:rsid w:val="00DE19DC"/>
    <w:rsid w:val="00DE417D"/>
    <w:rsid w:val="00DE72AC"/>
    <w:rsid w:val="00DE7D3B"/>
    <w:rsid w:val="00DF1F46"/>
    <w:rsid w:val="00DF40A2"/>
    <w:rsid w:val="00DF4419"/>
    <w:rsid w:val="00E02133"/>
    <w:rsid w:val="00E078AC"/>
    <w:rsid w:val="00E11B4B"/>
    <w:rsid w:val="00E15326"/>
    <w:rsid w:val="00E266B1"/>
    <w:rsid w:val="00E31CE4"/>
    <w:rsid w:val="00E34F98"/>
    <w:rsid w:val="00E61F6C"/>
    <w:rsid w:val="00E62517"/>
    <w:rsid w:val="00E66ECD"/>
    <w:rsid w:val="00E675EF"/>
    <w:rsid w:val="00E73F97"/>
    <w:rsid w:val="00E85416"/>
    <w:rsid w:val="00EA33DD"/>
    <w:rsid w:val="00EA4C53"/>
    <w:rsid w:val="00EA6847"/>
    <w:rsid w:val="00EC1454"/>
    <w:rsid w:val="00ED732C"/>
    <w:rsid w:val="00EE5DFF"/>
    <w:rsid w:val="00EF20C0"/>
    <w:rsid w:val="00EF2562"/>
    <w:rsid w:val="00EF3F38"/>
    <w:rsid w:val="00EF49FD"/>
    <w:rsid w:val="00EF74F4"/>
    <w:rsid w:val="00F032F3"/>
    <w:rsid w:val="00F13AA7"/>
    <w:rsid w:val="00F4312D"/>
    <w:rsid w:val="00F4377A"/>
    <w:rsid w:val="00F501F3"/>
    <w:rsid w:val="00F536CE"/>
    <w:rsid w:val="00F5639D"/>
    <w:rsid w:val="00F61AA6"/>
    <w:rsid w:val="00F62044"/>
    <w:rsid w:val="00F63821"/>
    <w:rsid w:val="00F74108"/>
    <w:rsid w:val="00F76627"/>
    <w:rsid w:val="00F775D7"/>
    <w:rsid w:val="00F83827"/>
    <w:rsid w:val="00F93245"/>
    <w:rsid w:val="00FA06E7"/>
    <w:rsid w:val="00FB4CA5"/>
    <w:rsid w:val="00FC178F"/>
    <w:rsid w:val="00FC617D"/>
    <w:rsid w:val="00FD0A70"/>
    <w:rsid w:val="00FD24AD"/>
    <w:rsid w:val="00FD7FFB"/>
    <w:rsid w:val="00FE1466"/>
    <w:rsid w:val="00FE304F"/>
    <w:rsid w:val="00FF0D66"/>
    <w:rsid w:val="00FF2542"/>
    <w:rsid w:val="00FF58E2"/>
    <w:rsid w:val="00FF7955"/>
    <w:rsid w:val="09A12879"/>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7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fr-FR"/>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fr-FR"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fr-FR"/>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fr-FR"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styleId="NichtaufgelsteErwhnung">
    <w:name w:val="Unresolved Mention"/>
    <w:basedOn w:val="Absatz-Standardschriftart"/>
    <w:uiPriority w:val="99"/>
    <w:semiHidden/>
    <w:unhideWhenUsed/>
    <w:rsid w:val="005563A9"/>
    <w:rPr>
      <w:color w:val="605E5C"/>
      <w:shd w:val="clear" w:color="auto" w:fill="E1DFDD"/>
    </w:rPr>
  </w:style>
  <w:style w:type="character" w:customStyle="1" w:styleId="tabchar">
    <w:name w:val="tabchar"/>
    <w:basedOn w:val="Absatz-Standardschriftart"/>
    <w:rsid w:val="00B8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251286109">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579027612">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39442961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ess@meyle.com" TargetMode="External"/><Relationship Id="rId18" Type="http://schemas.openxmlformats.org/officeDocument/2006/relationships/hyperlink" Target="https://www.facebook.com/meyle.par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meyle.com/fr/la-marque-meyle/corporate-responsibility/" TargetMode="External"/><Relationship Id="rId17" Type="http://schemas.openxmlformats.org/officeDocument/2006/relationships/hyperlink" Target="https://www.instagram.com/meyle_part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youtube.com/user/MEYLET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inkedin.com/company/meyle-a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meyle.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drigues\k&amp;h\Meyle%20-%20Daten\Projekte\Medienarbeit\Pressemitteilungen\_2022\07_Nachhaltigkeit\Vorlage_Pressemitteilung_de_NEU_13062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551e89-407d-4a49-848b-98dc39ed6436" xsi:nil="true"/>
    <lcf76f155ced4ddcb4097134ff3c332f xmlns="8c8fc8ef-51d0-4d87-8e1b-3083e993d877">
      <Terms xmlns="http://schemas.microsoft.com/office/infopath/2007/PartnerControls"/>
    </lcf76f155ced4ddcb4097134ff3c332f>
    <SharedWithUsers xmlns="45551e89-407d-4a49-848b-98dc39ed6436">
      <UserInfo>
        <DisplayName>Georg Lahme</DisplayName>
        <AccountId>19</AccountId>
        <AccountType/>
      </UserInfo>
      <UserInfo>
        <DisplayName>Patricia Marques Rodrigues</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999929 xmlns="http://www.datev.de/BSOffice/999929">1506c672-315e-491c-8fa9-e514283a67a2</BSO999929>
</file>

<file path=customXml/item4.xml><?xml version="1.0" encoding="utf-8"?>
<ct:contentTypeSchema xmlns:ct="http://schemas.microsoft.com/office/2006/metadata/contentType" xmlns:ma="http://schemas.microsoft.com/office/2006/metadata/properties/metaAttributes" ct:_="" ma:_="" ma:contentTypeName="Dokument" ma:contentTypeID="0x0101007967A39C088F2A48A47ADB57DC33BD26" ma:contentTypeVersion="14" ma:contentTypeDescription="Ein neues Dokument erstellen." ma:contentTypeScope="" ma:versionID="707c6c006fcf993ec5a1a1ddc11836be">
  <xsd:schema xmlns:xsd="http://www.w3.org/2001/XMLSchema" xmlns:xs="http://www.w3.org/2001/XMLSchema" xmlns:p="http://schemas.microsoft.com/office/2006/metadata/properties" xmlns:ns2="8c8fc8ef-51d0-4d87-8e1b-3083e993d877" xmlns:ns3="45551e89-407d-4a49-848b-98dc39ed6436" targetNamespace="http://schemas.microsoft.com/office/2006/metadata/properties" ma:root="true" ma:fieldsID="81dbea86b85e3c58d01d6eca89fc3ed5" ns2:_="" ns3:_="">
    <xsd:import namespace="8c8fc8ef-51d0-4d87-8e1b-3083e993d877"/>
    <xsd:import namespace="45551e89-407d-4a49-848b-98dc39ed6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fc8ef-51d0-4d87-8e1b-3083e993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7307b4c-efdd-4263-b90c-524f276034c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51e89-407d-4a49-848b-98dc39ed64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297ae8-42ae-4e8c-a09f-23e43d7677f6}" ma:internalName="TaxCatchAll" ma:showField="CatchAllData" ma:web="45551e89-407d-4a49-848b-98dc39ed64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CEBE-7187-4706-8030-C9905AC17BC7}">
  <ds:schemaRefs>
    <ds:schemaRef ds:uri="http://www.w3.org/XML/1998/namespace"/>
    <ds:schemaRef ds:uri="http://purl.org/dc/elements/1.1/"/>
    <ds:schemaRef ds:uri="http://schemas.microsoft.com/office/2006/documentManagement/types"/>
    <ds:schemaRef ds:uri="8c8fc8ef-51d0-4d87-8e1b-3083e993d877"/>
    <ds:schemaRef ds:uri="http://schemas.openxmlformats.org/package/2006/metadata/core-properties"/>
    <ds:schemaRef ds:uri="http://schemas.microsoft.com/office/infopath/2007/PartnerControls"/>
    <ds:schemaRef ds:uri="45551e89-407d-4a49-848b-98dc39ed6436"/>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16229B0-9932-4E34-BDFB-04C9C1A948A2}">
  <ds:schemaRefs>
    <ds:schemaRef ds:uri="http://schemas.microsoft.com/sharepoint/v3/contenttype/forms"/>
  </ds:schemaRefs>
</ds:datastoreItem>
</file>

<file path=customXml/itemProps3.xml><?xml version="1.0" encoding="utf-8"?>
<ds:datastoreItem xmlns:ds="http://schemas.openxmlformats.org/officeDocument/2006/customXml" ds:itemID="{EED8CB52-1136-4E12-869E-2A03B3B87C52}">
  <ds:schemaRefs>
    <ds:schemaRef ds:uri="http://www.datev.de/BSOffice/999929"/>
  </ds:schemaRefs>
</ds:datastoreItem>
</file>

<file path=customXml/itemProps4.xml><?xml version="1.0" encoding="utf-8"?>
<ds:datastoreItem xmlns:ds="http://schemas.openxmlformats.org/officeDocument/2006/customXml" ds:itemID="{FC8E9A97-CB82-4C07-8522-CFD586515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fc8ef-51d0-4d87-8e1b-3083e993d877"/>
    <ds:schemaRef ds:uri="45551e89-407d-4a49-848b-98dc39ed6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0567D9-A5CD-471D-AA0D-5314C47D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Vorlage_Pressemitteilung_de_NEU_130622.dotx</Template>
  <TotalTime>0</TotalTime>
  <Pages>4</Pages>
  <Words>915</Words>
  <Characters>5766</Characters>
  <Application>Microsoft Office Word</Application>
  <DocSecurity>0</DocSecurity>
  <Lines>48</Lines>
  <Paragraphs>13</Paragraphs>
  <ScaleCrop>false</ScaleCrop>
  <LinksUpToDate>false</LinksUpToDate>
  <CharactersWithSpaces>6668</CharactersWithSpaces>
  <SharedDoc>false</SharedDoc>
  <HLinks>
    <vt:vector size="42" baseType="variant">
      <vt:variant>
        <vt:i4>5832720</vt:i4>
      </vt:variant>
      <vt:variant>
        <vt:i4>18</vt:i4>
      </vt:variant>
      <vt:variant>
        <vt:i4>0</vt:i4>
      </vt:variant>
      <vt:variant>
        <vt:i4>5</vt:i4>
      </vt:variant>
      <vt:variant>
        <vt:lpwstr>https://www.youtube.com/user/MEYLETV</vt:lpwstr>
      </vt:variant>
      <vt:variant>
        <vt:lpwstr/>
      </vt:variant>
      <vt:variant>
        <vt:i4>6750269</vt:i4>
      </vt:variant>
      <vt:variant>
        <vt:i4>15</vt:i4>
      </vt:variant>
      <vt:variant>
        <vt:i4>0</vt:i4>
      </vt:variant>
      <vt:variant>
        <vt:i4>5</vt:i4>
      </vt:variant>
      <vt:variant>
        <vt:lpwstr>https://www.linkedin.com/company/meyle-ag/</vt:lpwstr>
      </vt:variant>
      <vt:variant>
        <vt:lpwstr/>
      </vt:variant>
      <vt:variant>
        <vt:i4>4587540</vt:i4>
      </vt:variant>
      <vt:variant>
        <vt:i4>12</vt:i4>
      </vt:variant>
      <vt:variant>
        <vt:i4>0</vt:i4>
      </vt:variant>
      <vt:variant>
        <vt:i4>5</vt:i4>
      </vt:variant>
      <vt:variant>
        <vt:lpwstr>https://www.facebook.com/meyle.parts</vt:lpwstr>
      </vt:variant>
      <vt:variant>
        <vt:lpwstr/>
      </vt:variant>
      <vt:variant>
        <vt:i4>5636138</vt:i4>
      </vt:variant>
      <vt:variant>
        <vt:i4>9</vt:i4>
      </vt:variant>
      <vt:variant>
        <vt:i4>0</vt:i4>
      </vt:variant>
      <vt:variant>
        <vt:i4>5</vt:i4>
      </vt:variant>
      <vt:variant>
        <vt:lpwstr>https://www.instagram.com/meyle_parts/</vt:lpwstr>
      </vt:variant>
      <vt:variant>
        <vt:lpwstr/>
      </vt:variant>
      <vt:variant>
        <vt:i4>8060995</vt:i4>
      </vt:variant>
      <vt:variant>
        <vt:i4>6</vt:i4>
      </vt:variant>
      <vt:variant>
        <vt:i4>0</vt:i4>
      </vt:variant>
      <vt:variant>
        <vt:i4>5</vt:i4>
      </vt:variant>
      <vt:variant>
        <vt:lpwstr>mailto:press@meyle.com</vt:lpwstr>
      </vt:variant>
      <vt:variant>
        <vt:lpwstr/>
      </vt:variant>
      <vt:variant>
        <vt:i4>8060995</vt:i4>
      </vt:variant>
      <vt:variant>
        <vt:i4>3</vt:i4>
      </vt:variant>
      <vt:variant>
        <vt:i4>0</vt:i4>
      </vt:variant>
      <vt:variant>
        <vt:i4>5</vt:i4>
      </vt:variant>
      <vt:variant>
        <vt:lpwstr>mailto:press@meyle.com</vt:lpwstr>
      </vt:variant>
      <vt:variant>
        <vt:lpwstr/>
      </vt:variant>
      <vt:variant>
        <vt:i4>2752553</vt:i4>
      </vt:variant>
      <vt:variant>
        <vt:i4>0</vt:i4>
      </vt:variant>
      <vt:variant>
        <vt:i4>0</vt:i4>
      </vt:variant>
      <vt:variant>
        <vt:i4>5</vt:i4>
      </vt:variant>
      <vt:variant>
        <vt:lpwstr>https://www.meyle.com/fr/la-marque-meyle/corporate-responsibility/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2022-09-08T06:45:00Z</dcterms:created>
  <dcterms:modified xsi:type="dcterms:W3CDTF">2022-09-08T06:45:00Z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0x010100CBC1CA44449E2E40A1A7EF981787D632</vt:lpwstr>
  </property>
  <property fmtid="{D5CDD505-2E9C-101B-9397-08002B2CF9AE}" pid="3" name="MediaServiceImageTags">
    <vt:lpwstr/>
  </property>
</Properties>
</file>