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4" w:rsidRPr="00FE21CD" w:rsidRDefault="006C41C4" w:rsidP="007F308F">
      <w:pPr>
        <w:spacing w:after="240" w:line="360" w:lineRule="auto"/>
        <w:jc w:val="both"/>
        <w:rPr>
          <w:rFonts w:ascii="Arial" w:hAnsi="Arial" w:cs="Arial"/>
          <w:b/>
          <w:sz w:val="28"/>
          <w:szCs w:val="28"/>
        </w:rPr>
      </w:pPr>
      <w:r>
        <w:rPr>
          <w:rFonts w:ascii="Arial" w:eastAsia="Calibri" w:hAnsi="Arial" w:cs="Arial"/>
          <w:sz w:val="18"/>
          <w:szCs w:val="18"/>
        </w:rPr>
        <w:br/>
      </w:r>
      <w:r>
        <w:rPr>
          <w:rFonts w:ascii="Arial" w:hAnsi="Arial"/>
          <w:b/>
          <w:sz w:val="28"/>
        </w:rPr>
        <w:t xml:space="preserve">El soporte de motor MEYLE-HD </w:t>
      </w:r>
      <w:r w:rsidRPr="00F37C73">
        <w:rPr>
          <w:rFonts w:ascii="Arial" w:hAnsi="Arial"/>
          <w:b/>
          <w:sz w:val="28"/>
        </w:rPr>
        <w:t>híbrido</w:t>
      </w:r>
      <w:r>
        <w:rPr>
          <w:rFonts w:ascii="Arial" w:hAnsi="Arial"/>
          <w:b/>
          <w:sz w:val="28"/>
        </w:rPr>
        <w:t xml:space="preserve"> aúna materiales de avanzada tecnología para mejorar la calidad </w:t>
      </w:r>
    </w:p>
    <w:p w:rsidR="006C41C4" w:rsidRPr="006C41C4" w:rsidRDefault="006C41C4" w:rsidP="006C41C4">
      <w:pPr>
        <w:pStyle w:val="Listenabsatz"/>
        <w:numPr>
          <w:ilvl w:val="0"/>
          <w:numId w:val="6"/>
        </w:numPr>
        <w:autoSpaceDE w:val="0"/>
        <w:autoSpaceDN w:val="0"/>
        <w:adjustRightInd w:val="0"/>
        <w:spacing w:after="240" w:line="360" w:lineRule="auto"/>
        <w:jc w:val="both"/>
        <w:rPr>
          <w:rFonts w:ascii="Arial" w:hAnsi="Arial" w:cs="Arial"/>
          <w:b/>
          <w:lang w:val="en-US"/>
        </w:rPr>
      </w:pPr>
      <w:proofErr w:type="spellStart"/>
      <w:r w:rsidRPr="006C41C4">
        <w:rPr>
          <w:rFonts w:ascii="Arial" w:hAnsi="Arial"/>
          <w:b/>
          <w:lang w:val="en-US"/>
        </w:rPr>
        <w:t>Larga</w:t>
      </w:r>
      <w:proofErr w:type="spellEnd"/>
      <w:r w:rsidRPr="006C41C4">
        <w:rPr>
          <w:rFonts w:ascii="Arial" w:hAnsi="Arial"/>
          <w:b/>
          <w:lang w:val="en-US"/>
        </w:rPr>
        <w:t xml:space="preserve"> </w:t>
      </w:r>
      <w:proofErr w:type="spellStart"/>
      <w:r w:rsidRPr="006C41C4">
        <w:rPr>
          <w:rFonts w:ascii="Arial" w:hAnsi="Arial"/>
          <w:b/>
          <w:lang w:val="en-US"/>
        </w:rPr>
        <w:t>vida</w:t>
      </w:r>
      <w:proofErr w:type="spellEnd"/>
      <w:r w:rsidRPr="006C41C4">
        <w:rPr>
          <w:rFonts w:ascii="Arial" w:hAnsi="Arial"/>
          <w:b/>
          <w:lang w:val="en-US"/>
        </w:rPr>
        <w:t xml:space="preserve"> </w:t>
      </w:r>
      <w:proofErr w:type="spellStart"/>
      <w:r w:rsidRPr="006C41C4">
        <w:rPr>
          <w:rFonts w:ascii="Arial" w:hAnsi="Arial"/>
          <w:b/>
          <w:lang w:val="en-US"/>
        </w:rPr>
        <w:t>útil</w:t>
      </w:r>
      <w:proofErr w:type="spellEnd"/>
      <w:r w:rsidRPr="006C41C4">
        <w:rPr>
          <w:rFonts w:ascii="Arial" w:hAnsi="Arial"/>
          <w:b/>
          <w:lang w:val="en-US"/>
        </w:rPr>
        <w:t xml:space="preserve"> y </w:t>
      </w:r>
      <w:proofErr w:type="spellStart"/>
      <w:r w:rsidRPr="006C41C4">
        <w:rPr>
          <w:rFonts w:ascii="Arial" w:hAnsi="Arial"/>
          <w:b/>
          <w:lang w:val="en-US"/>
        </w:rPr>
        <w:t>confort</w:t>
      </w:r>
      <w:proofErr w:type="spellEnd"/>
      <w:r w:rsidRPr="006C41C4">
        <w:rPr>
          <w:rFonts w:ascii="Arial" w:hAnsi="Arial"/>
          <w:b/>
          <w:lang w:val="en-US"/>
        </w:rPr>
        <w:t xml:space="preserve"> con la </w:t>
      </w:r>
      <w:proofErr w:type="spellStart"/>
      <w:r w:rsidRPr="006C41C4">
        <w:rPr>
          <w:rFonts w:ascii="Arial" w:hAnsi="Arial"/>
          <w:b/>
          <w:lang w:val="en-US"/>
        </w:rPr>
        <w:t>combinación</w:t>
      </w:r>
      <w:proofErr w:type="spellEnd"/>
      <w:r w:rsidRPr="006C41C4">
        <w:rPr>
          <w:rFonts w:ascii="Arial" w:hAnsi="Arial"/>
          <w:b/>
          <w:lang w:val="en-US"/>
        </w:rPr>
        <w:t xml:space="preserve"> de </w:t>
      </w:r>
      <w:proofErr w:type="spellStart"/>
      <w:r w:rsidRPr="006C41C4">
        <w:rPr>
          <w:rFonts w:ascii="Arial" w:hAnsi="Arial"/>
          <w:b/>
          <w:lang w:val="en-US"/>
        </w:rPr>
        <w:t>poliuretano</w:t>
      </w:r>
      <w:proofErr w:type="spellEnd"/>
      <w:r w:rsidRPr="006C41C4">
        <w:rPr>
          <w:rFonts w:ascii="Arial" w:hAnsi="Arial"/>
          <w:b/>
          <w:lang w:val="en-US"/>
        </w:rPr>
        <w:t xml:space="preserve"> y </w:t>
      </w:r>
      <w:proofErr w:type="spellStart"/>
      <w:r w:rsidRPr="006C41C4">
        <w:rPr>
          <w:rFonts w:ascii="Arial" w:hAnsi="Arial"/>
          <w:b/>
          <w:lang w:val="en-US"/>
        </w:rPr>
        <w:t>Polyelast</w:t>
      </w:r>
      <w:proofErr w:type="spellEnd"/>
      <w:r w:rsidRPr="006C41C4">
        <w:rPr>
          <w:rFonts w:ascii="Arial" w:hAnsi="Arial"/>
          <w:b/>
          <w:lang w:val="en-US"/>
        </w:rPr>
        <w:t xml:space="preserve">® </w:t>
      </w:r>
    </w:p>
    <w:p w:rsidR="006C41C4" w:rsidRPr="006C41C4" w:rsidRDefault="006C41C4" w:rsidP="006C41C4">
      <w:pPr>
        <w:pStyle w:val="Listenabsatz"/>
        <w:numPr>
          <w:ilvl w:val="0"/>
          <w:numId w:val="6"/>
        </w:numPr>
        <w:autoSpaceDE w:val="0"/>
        <w:autoSpaceDN w:val="0"/>
        <w:adjustRightInd w:val="0"/>
        <w:spacing w:after="240" w:line="360" w:lineRule="auto"/>
        <w:jc w:val="both"/>
        <w:rPr>
          <w:rFonts w:ascii="Arial" w:hAnsi="Arial" w:cs="Arial"/>
          <w:b/>
          <w:lang w:val="en-US"/>
        </w:rPr>
      </w:pPr>
      <w:proofErr w:type="spellStart"/>
      <w:r w:rsidRPr="006C41C4">
        <w:rPr>
          <w:rFonts w:ascii="Arial" w:hAnsi="Arial"/>
          <w:b/>
          <w:lang w:val="en-US"/>
        </w:rPr>
        <w:t>En</w:t>
      </w:r>
      <w:proofErr w:type="spellEnd"/>
      <w:r w:rsidRPr="006C41C4">
        <w:rPr>
          <w:rFonts w:ascii="Arial" w:hAnsi="Arial"/>
          <w:b/>
          <w:lang w:val="en-US"/>
        </w:rPr>
        <w:t xml:space="preserve"> </w:t>
      </w:r>
      <w:proofErr w:type="spellStart"/>
      <w:r w:rsidRPr="006C41C4">
        <w:rPr>
          <w:rFonts w:ascii="Arial" w:hAnsi="Arial"/>
          <w:b/>
          <w:lang w:val="en-US"/>
        </w:rPr>
        <w:t>comparación</w:t>
      </w:r>
      <w:proofErr w:type="spellEnd"/>
      <w:r w:rsidRPr="006C41C4">
        <w:rPr>
          <w:rFonts w:ascii="Arial" w:hAnsi="Arial"/>
          <w:b/>
          <w:lang w:val="en-US"/>
        </w:rPr>
        <w:t xml:space="preserve"> con las </w:t>
      </w:r>
      <w:proofErr w:type="spellStart"/>
      <w:r w:rsidRPr="006C41C4">
        <w:rPr>
          <w:rFonts w:ascii="Arial" w:hAnsi="Arial"/>
          <w:b/>
          <w:lang w:val="en-US"/>
        </w:rPr>
        <w:t>piezas</w:t>
      </w:r>
      <w:proofErr w:type="spellEnd"/>
      <w:r w:rsidRPr="006C41C4">
        <w:rPr>
          <w:rFonts w:ascii="Arial" w:hAnsi="Arial"/>
          <w:b/>
          <w:lang w:val="en-US"/>
        </w:rPr>
        <w:t xml:space="preserve"> de </w:t>
      </w:r>
      <w:proofErr w:type="spellStart"/>
      <w:r w:rsidRPr="006C41C4">
        <w:rPr>
          <w:rFonts w:ascii="Arial" w:hAnsi="Arial"/>
          <w:b/>
          <w:lang w:val="en-US"/>
        </w:rPr>
        <w:t>recambio</w:t>
      </w:r>
      <w:proofErr w:type="spellEnd"/>
      <w:r w:rsidRPr="006C41C4">
        <w:rPr>
          <w:rFonts w:ascii="Arial" w:hAnsi="Arial"/>
          <w:b/>
          <w:lang w:val="en-US"/>
        </w:rPr>
        <w:t xml:space="preserve"> </w:t>
      </w:r>
      <w:proofErr w:type="spellStart"/>
      <w:r w:rsidRPr="006C41C4">
        <w:rPr>
          <w:rFonts w:ascii="Arial" w:hAnsi="Arial"/>
          <w:b/>
          <w:lang w:val="en-US"/>
        </w:rPr>
        <w:t>originales</w:t>
      </w:r>
      <w:proofErr w:type="spellEnd"/>
      <w:r w:rsidRPr="006C41C4">
        <w:rPr>
          <w:rFonts w:ascii="Arial" w:hAnsi="Arial"/>
          <w:b/>
          <w:lang w:val="en-US"/>
        </w:rPr>
        <w:t xml:space="preserve"> </w:t>
      </w:r>
      <w:proofErr w:type="spellStart"/>
      <w:r w:rsidRPr="006C41C4">
        <w:rPr>
          <w:rFonts w:ascii="Arial" w:hAnsi="Arial"/>
          <w:b/>
          <w:lang w:val="en-US"/>
        </w:rPr>
        <w:t>es</w:t>
      </w:r>
      <w:proofErr w:type="spellEnd"/>
      <w:r w:rsidRPr="006C41C4">
        <w:rPr>
          <w:rFonts w:ascii="Arial" w:hAnsi="Arial"/>
          <w:b/>
          <w:lang w:val="en-US"/>
        </w:rPr>
        <w:t xml:space="preserve"> </w:t>
      </w:r>
      <w:proofErr w:type="gramStart"/>
      <w:r w:rsidRPr="006C41C4">
        <w:rPr>
          <w:rFonts w:ascii="Arial" w:hAnsi="Arial"/>
          <w:b/>
          <w:lang w:val="en-US"/>
        </w:rPr>
        <w:t>un</w:t>
      </w:r>
      <w:proofErr w:type="gramEnd"/>
      <w:r w:rsidRPr="006C41C4">
        <w:rPr>
          <w:rFonts w:ascii="Arial" w:hAnsi="Arial"/>
          <w:b/>
          <w:lang w:val="en-US"/>
        </w:rPr>
        <w:t xml:space="preserve"> </w:t>
      </w:r>
      <w:proofErr w:type="spellStart"/>
      <w:r w:rsidRPr="006C41C4">
        <w:rPr>
          <w:rFonts w:ascii="Arial" w:hAnsi="Arial"/>
          <w:b/>
          <w:lang w:val="en-US"/>
        </w:rPr>
        <w:t>soporte</w:t>
      </w:r>
      <w:proofErr w:type="spellEnd"/>
      <w:r w:rsidRPr="006C41C4">
        <w:rPr>
          <w:rFonts w:ascii="Arial" w:hAnsi="Arial"/>
          <w:b/>
          <w:lang w:val="en-US"/>
        </w:rPr>
        <w:t xml:space="preserve"> de motor </w:t>
      </w:r>
      <w:proofErr w:type="spellStart"/>
      <w:r w:rsidRPr="006C41C4">
        <w:rPr>
          <w:rFonts w:ascii="Arial" w:hAnsi="Arial"/>
          <w:b/>
          <w:lang w:val="en-US"/>
        </w:rPr>
        <w:t>optimizado</w:t>
      </w:r>
      <w:proofErr w:type="spellEnd"/>
      <w:r w:rsidRPr="006C41C4">
        <w:rPr>
          <w:rFonts w:ascii="Arial" w:hAnsi="Arial"/>
          <w:b/>
          <w:lang w:val="en-US"/>
        </w:rPr>
        <w:t xml:space="preserve"> </w:t>
      </w:r>
      <w:proofErr w:type="spellStart"/>
      <w:r w:rsidRPr="006C41C4">
        <w:rPr>
          <w:rFonts w:ascii="Arial" w:hAnsi="Arial"/>
          <w:b/>
          <w:lang w:val="en-US"/>
        </w:rPr>
        <w:t>técnicamente</w:t>
      </w:r>
      <w:proofErr w:type="spellEnd"/>
      <w:r w:rsidRPr="006C41C4">
        <w:rPr>
          <w:rFonts w:ascii="Arial" w:hAnsi="Arial"/>
          <w:b/>
          <w:lang w:val="en-US"/>
        </w:rPr>
        <w:t xml:space="preserve"> con 4 </w:t>
      </w:r>
      <w:proofErr w:type="spellStart"/>
      <w:r w:rsidRPr="006C41C4">
        <w:rPr>
          <w:rFonts w:ascii="Arial" w:hAnsi="Arial"/>
          <w:b/>
          <w:lang w:val="en-US"/>
        </w:rPr>
        <w:t>años</w:t>
      </w:r>
      <w:proofErr w:type="spellEnd"/>
      <w:r w:rsidRPr="006C41C4">
        <w:rPr>
          <w:rFonts w:ascii="Arial" w:hAnsi="Arial"/>
          <w:b/>
          <w:lang w:val="en-US"/>
        </w:rPr>
        <w:t xml:space="preserve"> de </w:t>
      </w:r>
      <w:proofErr w:type="spellStart"/>
      <w:r w:rsidRPr="006C41C4">
        <w:rPr>
          <w:rFonts w:ascii="Arial" w:hAnsi="Arial"/>
          <w:b/>
          <w:lang w:val="en-US"/>
        </w:rPr>
        <w:t>garantía</w:t>
      </w:r>
      <w:proofErr w:type="spellEnd"/>
      <w:r w:rsidRPr="006C41C4">
        <w:rPr>
          <w:rFonts w:ascii="Arial" w:hAnsi="Arial"/>
          <w:b/>
          <w:lang w:val="en-US"/>
        </w:rPr>
        <w:t>.</w:t>
      </w:r>
    </w:p>
    <w:p w:rsidR="006C41C4" w:rsidRPr="007B5152" w:rsidRDefault="006C41C4" w:rsidP="006C41C4">
      <w:pPr>
        <w:pStyle w:val="Listenabsatz"/>
        <w:numPr>
          <w:ilvl w:val="0"/>
          <w:numId w:val="6"/>
        </w:numPr>
        <w:autoSpaceDE w:val="0"/>
        <w:autoSpaceDN w:val="0"/>
        <w:adjustRightInd w:val="0"/>
        <w:spacing w:after="240" w:line="360" w:lineRule="auto"/>
        <w:jc w:val="both"/>
        <w:rPr>
          <w:rFonts w:ascii="Arial" w:hAnsi="Arial" w:cs="Arial"/>
          <w:b/>
        </w:rPr>
      </w:pPr>
      <w:proofErr w:type="spellStart"/>
      <w:r w:rsidRPr="007B5152">
        <w:rPr>
          <w:rFonts w:ascii="Arial" w:hAnsi="Arial"/>
          <w:b/>
        </w:rPr>
        <w:t>Cubre</w:t>
      </w:r>
      <w:proofErr w:type="spellEnd"/>
      <w:r w:rsidRPr="007B5152">
        <w:rPr>
          <w:rFonts w:ascii="Arial" w:hAnsi="Arial"/>
          <w:b/>
        </w:rPr>
        <w:t xml:space="preserve"> </w:t>
      </w:r>
      <w:proofErr w:type="spellStart"/>
      <w:r w:rsidRPr="007B5152">
        <w:rPr>
          <w:rFonts w:ascii="Arial" w:hAnsi="Arial"/>
          <w:b/>
        </w:rPr>
        <w:t>el</w:t>
      </w:r>
      <w:proofErr w:type="spellEnd"/>
      <w:r w:rsidRPr="007B5152">
        <w:rPr>
          <w:rFonts w:ascii="Arial" w:hAnsi="Arial"/>
          <w:b/>
        </w:rPr>
        <w:t xml:space="preserve"> </w:t>
      </w:r>
      <w:proofErr w:type="spellStart"/>
      <w:r w:rsidRPr="007B5152">
        <w:rPr>
          <w:rFonts w:ascii="Arial" w:hAnsi="Arial"/>
          <w:b/>
        </w:rPr>
        <w:t>parque</w:t>
      </w:r>
      <w:proofErr w:type="spellEnd"/>
      <w:r w:rsidRPr="007B5152">
        <w:rPr>
          <w:rFonts w:ascii="Arial" w:hAnsi="Arial"/>
          <w:b/>
        </w:rPr>
        <w:t xml:space="preserve"> de </w:t>
      </w:r>
      <w:proofErr w:type="spellStart"/>
      <w:r w:rsidRPr="007B5152">
        <w:rPr>
          <w:rFonts w:ascii="Arial" w:hAnsi="Arial"/>
          <w:b/>
        </w:rPr>
        <w:t>automóviles</w:t>
      </w:r>
      <w:proofErr w:type="spellEnd"/>
      <w:r w:rsidRPr="007B5152">
        <w:rPr>
          <w:rFonts w:ascii="Arial" w:hAnsi="Arial"/>
          <w:b/>
        </w:rPr>
        <w:t xml:space="preserve"> </w:t>
      </w:r>
      <w:proofErr w:type="spellStart"/>
      <w:r w:rsidRPr="007B5152">
        <w:rPr>
          <w:rFonts w:ascii="Arial" w:hAnsi="Arial"/>
          <w:b/>
        </w:rPr>
        <w:t>mundial</w:t>
      </w:r>
      <w:proofErr w:type="spellEnd"/>
      <w:r w:rsidRPr="007B5152">
        <w:rPr>
          <w:rFonts w:ascii="Arial" w:hAnsi="Arial"/>
          <w:b/>
        </w:rPr>
        <w:t xml:space="preserve"> de 500.000 </w:t>
      </w:r>
      <w:proofErr w:type="spellStart"/>
      <w:r w:rsidRPr="007B5152">
        <w:rPr>
          <w:rFonts w:ascii="Arial" w:hAnsi="Arial"/>
          <w:b/>
        </w:rPr>
        <w:t>vehículos</w:t>
      </w:r>
      <w:proofErr w:type="spellEnd"/>
      <w:r w:rsidRPr="007B5152">
        <w:rPr>
          <w:b/>
        </w:rPr>
        <w:t xml:space="preserve"> </w:t>
      </w:r>
    </w:p>
    <w:p w:rsidR="006C41C4" w:rsidRDefault="006C41C4" w:rsidP="006C41C4">
      <w:pPr>
        <w:autoSpaceDE w:val="0"/>
        <w:autoSpaceDN w:val="0"/>
        <w:adjustRightInd w:val="0"/>
        <w:spacing w:after="240" w:line="360" w:lineRule="auto"/>
        <w:jc w:val="both"/>
        <w:rPr>
          <w:rFonts w:ascii="Arial" w:hAnsi="Arial" w:cs="Arial"/>
          <w:b/>
        </w:rPr>
      </w:pPr>
      <w:r>
        <w:rPr>
          <w:rFonts w:ascii="Arial" w:hAnsi="Arial"/>
          <w:b/>
          <w:u w:val="single"/>
        </w:rPr>
        <w:t>Hamburgo, 26 septiembre 2018.</w:t>
      </w:r>
      <w:r>
        <w:rPr>
          <w:rFonts w:ascii="Arial" w:hAnsi="Arial"/>
          <w:b/>
        </w:rPr>
        <w:t xml:space="preserve"> El nuevo soporte de motor MEYLE-HD Hybrid aúna por vez primera las extraordinarias características de los materiales poliuretano, para proporcionar una larga vida útil, y el Polyelast® para obtener un confort extraordinario – una verdadera novedad en el mercado de los repuestos</w:t>
      </w:r>
      <w:r>
        <w:rPr>
          <w:rStyle w:val="Funotenzeichen"/>
          <w:rFonts w:ascii="Arial" w:hAnsi="Arial"/>
          <w:b/>
        </w:rPr>
        <w:footnoteReference w:id="1"/>
      </w:r>
      <w:r>
        <w:rPr>
          <w:rFonts w:ascii="Arial" w:hAnsi="Arial"/>
          <w:b/>
        </w:rPr>
        <w:t>. Con la combinación de estos materiales de alta tecnología el soporte del motor MEYLE-HD Hybrid proporciona una suspensión libre de vibraciones del motor y una amortiguación fiable de la</w:t>
      </w:r>
      <w:bookmarkStart w:id="0" w:name="_GoBack"/>
      <w:bookmarkEnd w:id="0"/>
      <w:r>
        <w:rPr>
          <w:rFonts w:ascii="Arial" w:hAnsi="Arial"/>
          <w:b/>
        </w:rPr>
        <w:t>s vibraciones del motor. Incluso con las cargas máximas el soporte del motor asegura un confort de marcha permanente debido a sus características mejoradas. El fabricante de Hamburgo de piezas de repuesto cubre con su nuevo soporte del motor alrededor de 500.000 vehículos de las marcas Citroën, Fiat y Peugeot.</w:t>
      </w:r>
      <w:r>
        <w:t xml:space="preserve"> </w:t>
      </w:r>
    </w:p>
    <w:p w:rsidR="006C41C4" w:rsidRDefault="006C41C4" w:rsidP="006C41C4">
      <w:pPr>
        <w:autoSpaceDE w:val="0"/>
        <w:autoSpaceDN w:val="0"/>
        <w:adjustRightInd w:val="0"/>
        <w:spacing w:after="240" w:line="360" w:lineRule="auto"/>
        <w:jc w:val="both"/>
        <w:rPr>
          <w:rFonts w:ascii="Arial" w:hAnsi="Arial" w:cs="Arial"/>
        </w:rPr>
      </w:pPr>
      <w:r>
        <w:rPr>
          <w:rFonts w:ascii="Arial" w:hAnsi="Arial"/>
        </w:rPr>
        <w:t>El soporte del motor MEYLE-HD-Hybrid consigue un perceptible valor añadido para los clientes del taller. En comparación con la pieza de repuesto original la calidad mejorada así como el diseño optimizado técnicamente consiguen una vida útil más larga de piezas importantes para la seguridad. Esto lo ha demostrado la pieza MEYLE-HD en el centro de pruebas MEYLE con por ejemplo más de 100.000 ciclos de prueba (7 kN / 2 Hz): Al contrario que con el repuesto original del soporte del moto la pieza MEYLE-HD no presentó ningún desgaste ni avería técnica en el cuerpo del amortiguador. Los clientes consiguen 4 años de garantía con el soporte de motor optimizado técnicamente MEYLE-HD Hybrid, así como para todos los demás productos MEYLE-HD.</w:t>
      </w:r>
    </w:p>
    <w:p w:rsidR="006C41C4" w:rsidRDefault="006C41C4" w:rsidP="006C41C4">
      <w:pPr>
        <w:autoSpaceDE w:val="0"/>
        <w:autoSpaceDN w:val="0"/>
        <w:adjustRightInd w:val="0"/>
        <w:spacing w:after="240" w:line="360" w:lineRule="auto"/>
        <w:jc w:val="both"/>
        <w:rPr>
          <w:rFonts w:ascii="Arial" w:hAnsi="Arial" w:cs="Arial"/>
        </w:rPr>
      </w:pPr>
      <w:r>
        <w:rPr>
          <w:rFonts w:ascii="Arial" w:hAnsi="Arial"/>
        </w:rPr>
        <w:lastRenderedPageBreak/>
        <w:br/>
        <w:t xml:space="preserve">Debido al permanente cambio de cargas en el motor el soporte del motor queda sometido a fuertes esfuerzos. Las cargas térmicas extremas así como las variaciones del entorno y del servicio pueden producir un fuerte desgaste y un fallo prematuro del soporte del motor – las consecuencias son fuertes vibraciones y molestos ruidos en todo el vehículo. Con la pieza mejorada MEYLE-HD puede aumentarse en mucho la vida útil de la pieza, al mismo tiempo puede mantenerse el confort de marcha y el rendimiento de amortiguación. </w:t>
      </w:r>
    </w:p>
    <w:p w:rsidR="006C41C4" w:rsidRPr="007B5152" w:rsidRDefault="006C41C4" w:rsidP="006C41C4">
      <w:pPr>
        <w:autoSpaceDE w:val="0"/>
        <w:autoSpaceDN w:val="0"/>
        <w:adjustRightInd w:val="0"/>
        <w:spacing w:after="240" w:line="360" w:lineRule="auto"/>
        <w:jc w:val="both"/>
        <w:rPr>
          <w:rFonts w:ascii="Arial" w:hAnsi="Arial" w:cs="Arial"/>
        </w:rPr>
      </w:pPr>
      <w:r>
        <w:rPr>
          <w:rFonts w:ascii="Arial" w:hAnsi="Arial"/>
        </w:rPr>
        <w:t xml:space="preserve">MEYLE ofrece un surtido de 640 diferentes referencias de soporte del motor para en </w:t>
      </w:r>
      <w:r w:rsidRPr="007B5152">
        <w:rPr>
          <w:rFonts w:ascii="Arial" w:hAnsi="Arial" w:cs="Arial"/>
        </w:rPr>
        <w:t xml:space="preserve">total 172 millones de vehículos en todo el mundo. </w:t>
      </w:r>
    </w:p>
    <w:p w:rsidR="006C41C4" w:rsidRPr="007B5152" w:rsidRDefault="006C41C4" w:rsidP="006C41C4">
      <w:pPr>
        <w:autoSpaceDE w:val="0"/>
        <w:autoSpaceDN w:val="0"/>
        <w:adjustRightInd w:val="0"/>
        <w:spacing w:after="240" w:line="360" w:lineRule="auto"/>
        <w:jc w:val="both"/>
        <w:rPr>
          <w:rFonts w:ascii="Arial" w:hAnsi="Arial" w:cs="Arial"/>
        </w:rPr>
      </w:pPr>
      <w:r w:rsidRPr="007B5152">
        <w:rPr>
          <w:rFonts w:ascii="Arial" w:hAnsi="Arial" w:cs="Arial"/>
          <w:i/>
        </w:rPr>
        <w:t>El soporte de motor de MEYLE-HD fue presentado en la feria Automechanika 2018 y está disponible con el número de pieza de MEYLE 214 030 0080/HD.</w:t>
      </w:r>
    </w:p>
    <w:p w:rsidR="006C41C4" w:rsidRPr="007B5152" w:rsidRDefault="006C41C4" w:rsidP="006C41C4">
      <w:pPr>
        <w:jc w:val="both"/>
        <w:rPr>
          <w:rFonts w:ascii="Arial" w:hAnsi="Arial" w:cs="Arial"/>
          <w:b/>
          <w:sz w:val="18"/>
          <w:szCs w:val="18"/>
        </w:rPr>
      </w:pPr>
      <w:r w:rsidRPr="007B5152">
        <w:rPr>
          <w:rFonts w:ascii="Arial" w:hAnsi="Arial" w:cs="Arial"/>
        </w:rPr>
        <w:t xml:space="preserve">Puede descargarse los artículos de prensa y las fotografías en </w:t>
      </w:r>
      <w:hyperlink r:id="rId9">
        <w:r w:rsidRPr="006C41C4">
          <w:rPr>
            <w:rFonts w:ascii="Arial" w:hAnsi="Arial" w:cs="Arial"/>
            <w:color w:val="0000FF"/>
            <w:u w:val="single"/>
          </w:rPr>
          <w:t>www.meyle.com</w:t>
        </w:r>
      </w:hyperlink>
      <w:r w:rsidRPr="006C41C4">
        <w:rPr>
          <w:rFonts w:ascii="Arial" w:hAnsi="Arial" w:cs="Arial"/>
        </w:rPr>
        <w:t xml:space="preserve"> </w:t>
      </w:r>
      <w:r w:rsidRPr="007B5152">
        <w:rPr>
          <w:rFonts w:ascii="Arial" w:hAnsi="Arial" w:cs="Arial"/>
        </w:rPr>
        <w:t>o solicitarlos en forma de archivo.</w:t>
      </w:r>
      <w:r w:rsidRPr="007B5152">
        <w:rPr>
          <w:rFonts w:ascii="Arial" w:hAnsi="Arial" w:cs="Arial"/>
          <w:sz w:val="18"/>
        </w:rPr>
        <w:t xml:space="preserve"> </w:t>
      </w:r>
    </w:p>
    <w:p w:rsidR="006C41C4" w:rsidRPr="007B5152" w:rsidRDefault="006C41C4" w:rsidP="006C41C4">
      <w:pPr>
        <w:rPr>
          <w:rFonts w:ascii="Arial" w:eastAsia="Calibri" w:hAnsi="Arial" w:cs="Arial"/>
          <w:sz w:val="18"/>
          <w:szCs w:val="18"/>
        </w:rPr>
      </w:pPr>
    </w:p>
    <w:p w:rsidR="006C41C4" w:rsidRPr="007B5152" w:rsidRDefault="006C41C4" w:rsidP="006C41C4">
      <w:pPr>
        <w:rPr>
          <w:rFonts w:ascii="Arial" w:eastAsia="Calibri" w:hAnsi="Arial" w:cs="Arial"/>
          <w:sz w:val="18"/>
          <w:szCs w:val="18"/>
        </w:rPr>
      </w:pPr>
    </w:p>
    <w:p w:rsidR="000B0782" w:rsidRPr="009E35FC" w:rsidRDefault="000B0782" w:rsidP="006C41C4">
      <w:pPr>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hyperlink r:id="rId10" w:history="1">
        <w:r w:rsidRPr="00C34985">
          <w:rPr>
            <w:rStyle w:val="Hyperlink"/>
            <w:rFonts w:ascii="Arial" w:hAnsi="Arial" w:cs="Arial"/>
            <w:sz w:val="18"/>
            <w:szCs w:val="18"/>
          </w:rPr>
          <w:t>meyle@klenkhoursch.de</w:t>
        </w:r>
      </w:hyperlink>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MEYLE AG, Eva Schilling, tel</w:t>
      </w:r>
      <w:r w:rsidR="0040357C">
        <w:rPr>
          <w:rFonts w:ascii="Arial" w:hAnsi="Arial" w:cs="Arial"/>
          <w:sz w:val="18"/>
          <w:szCs w:val="18"/>
          <w:lang w:val="en-US"/>
        </w:rPr>
        <w:t>.</w:t>
      </w:r>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1"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6C41C4" w:rsidRDefault="006C41C4">
      <w:pPr>
        <w:rPr>
          <w:rFonts w:ascii="Arial" w:hAnsi="Arial" w:cs="Arial"/>
          <w:b/>
          <w:sz w:val="18"/>
          <w:szCs w:val="22"/>
        </w:rPr>
      </w:pPr>
      <w:r>
        <w:rPr>
          <w:rFonts w:ascii="Arial" w:hAnsi="Arial" w:cs="Arial"/>
          <w:b/>
          <w:sz w:val="18"/>
          <w:szCs w:val="22"/>
        </w:rPr>
        <w:br w:type="page"/>
      </w:r>
    </w:p>
    <w:p w:rsidR="000B0782" w:rsidRPr="004F7200" w:rsidRDefault="006C41C4" w:rsidP="000B0782">
      <w:pPr>
        <w:spacing w:line="360" w:lineRule="auto"/>
        <w:jc w:val="both"/>
        <w:rPr>
          <w:rFonts w:ascii="Arial" w:hAnsi="Arial" w:cs="Arial"/>
          <w:b/>
          <w:sz w:val="18"/>
          <w:szCs w:val="22"/>
        </w:rPr>
      </w:pPr>
      <w:r>
        <w:rPr>
          <w:rFonts w:ascii="Arial" w:hAnsi="Arial" w:cs="Arial"/>
          <w:b/>
          <w:sz w:val="18"/>
          <w:szCs w:val="22"/>
        </w:rPr>
        <w:lastRenderedPageBreak/>
        <w:br/>
      </w:r>
      <w:r w:rsidR="000B0782"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006C41C4">
        <w:rPr>
          <w:rStyle w:val="Fett"/>
          <w:rFonts w:ascii="Arial" w:hAnsi="Arial" w:cs="Arial"/>
          <w:b w:val="0"/>
          <w:sz w:val="18"/>
          <w:szCs w:val="22"/>
          <w:lang w:val="es-ES"/>
        </w:rPr>
        <w:t> </w:t>
      </w:r>
      <w:r w:rsidRPr="004F7200">
        <w:rPr>
          <w:rStyle w:val="Fett"/>
          <w:rFonts w:ascii="Arial" w:hAnsi="Arial" w:cs="Arial"/>
          <w:b w:val="0"/>
          <w:sz w:val="18"/>
          <w:szCs w:val="22"/>
          <w:lang w:val="es-ES"/>
        </w:rPr>
        <w:t xml:space="preserve">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0B0782">
      <w:pPr>
        <w:pStyle w:val="KeinLeerraum"/>
        <w:spacing w:line="360" w:lineRule="auto"/>
        <w:rPr>
          <w:bCs/>
          <w:lang w:val="fr-FR"/>
        </w:rPr>
      </w:pPr>
    </w:p>
    <w:p w:rsidR="003C3E35" w:rsidRPr="00045580" w:rsidRDefault="000B0782" w:rsidP="006C41C4">
      <w:pPr>
        <w:spacing w:line="360" w:lineRule="auto"/>
        <w:jc w:val="both"/>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C4" w:rsidRDefault="006C41C4" w:rsidP="00D621B4">
      <w:r>
        <w:separator/>
      </w:r>
    </w:p>
  </w:endnote>
  <w:endnote w:type="continuationSeparator" w:id="0">
    <w:p w:rsidR="006C41C4" w:rsidRDefault="006C41C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C4" w:rsidRDefault="006C41C4" w:rsidP="00D621B4">
      <w:r>
        <w:separator/>
      </w:r>
    </w:p>
  </w:footnote>
  <w:footnote w:type="continuationSeparator" w:id="0">
    <w:p w:rsidR="006C41C4" w:rsidRDefault="006C41C4" w:rsidP="00D621B4">
      <w:r>
        <w:continuationSeparator/>
      </w:r>
    </w:p>
  </w:footnote>
  <w:footnote w:id="1">
    <w:p w:rsidR="006C41C4" w:rsidRPr="006C41C4" w:rsidRDefault="006C41C4" w:rsidP="006C41C4">
      <w:pPr>
        <w:pStyle w:val="Funotentext"/>
        <w:rPr>
          <w:rFonts w:ascii="Arial" w:hAnsi="Arial" w:cs="Arial"/>
          <w:lang w:val="de-DE"/>
        </w:rPr>
      </w:pPr>
      <w:r w:rsidRPr="006C41C4">
        <w:rPr>
          <w:rStyle w:val="Funotenzeichen"/>
          <w:rFonts w:ascii="Arial" w:hAnsi="Arial" w:cs="Arial"/>
        </w:rPr>
        <w:footnoteRef/>
      </w:r>
      <w:r w:rsidRPr="006C41C4">
        <w:rPr>
          <w:rFonts w:ascii="Arial" w:hAnsi="Arial" w:cs="Arial"/>
        </w:rPr>
        <w:t xml:space="preserve"> Versión de septiembre de 2018</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C4"/>
    <w:rsid w:val="000055BF"/>
    <w:rsid w:val="00045580"/>
    <w:rsid w:val="000621B7"/>
    <w:rsid w:val="000B0782"/>
    <w:rsid w:val="00185DE9"/>
    <w:rsid w:val="001A2D1B"/>
    <w:rsid w:val="002F3A91"/>
    <w:rsid w:val="003C3E35"/>
    <w:rsid w:val="003F69A7"/>
    <w:rsid w:val="0040357C"/>
    <w:rsid w:val="0041337A"/>
    <w:rsid w:val="00460D9F"/>
    <w:rsid w:val="00514333"/>
    <w:rsid w:val="00574F45"/>
    <w:rsid w:val="00577961"/>
    <w:rsid w:val="005C69AA"/>
    <w:rsid w:val="00692D1E"/>
    <w:rsid w:val="006C41C4"/>
    <w:rsid w:val="007529F8"/>
    <w:rsid w:val="007C53D1"/>
    <w:rsid w:val="007F308F"/>
    <w:rsid w:val="00A61ACA"/>
    <w:rsid w:val="00B0073F"/>
    <w:rsid w:val="00BA74DD"/>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Funotentext">
    <w:name w:val="footnote text"/>
    <w:basedOn w:val="Standard"/>
    <w:link w:val="FunotentextZchn"/>
    <w:uiPriority w:val="99"/>
    <w:semiHidden/>
    <w:unhideWhenUsed/>
    <w:rsid w:val="006C41C4"/>
    <w:rPr>
      <w:sz w:val="20"/>
      <w:szCs w:val="20"/>
      <w:lang w:eastAsia="es-ES" w:bidi="es-ES"/>
    </w:rPr>
  </w:style>
  <w:style w:type="character" w:customStyle="1" w:styleId="FunotentextZchn">
    <w:name w:val="Fußnotentext Zchn"/>
    <w:basedOn w:val="Absatz-Standardschriftart"/>
    <w:link w:val="Funotentext"/>
    <w:uiPriority w:val="99"/>
    <w:semiHidden/>
    <w:rsid w:val="006C41C4"/>
    <w:rPr>
      <w:rFonts w:ascii="Times New Roman" w:eastAsia="Times New Roman" w:hAnsi="Times New Roman" w:cs="Times New Roman"/>
      <w:sz w:val="20"/>
      <w:szCs w:val="20"/>
      <w:lang w:val="es-ES" w:eastAsia="es-ES" w:bidi="es-ES"/>
    </w:rPr>
  </w:style>
  <w:style w:type="character" w:styleId="Funotenzeichen">
    <w:name w:val="footnote reference"/>
    <w:basedOn w:val="Absatz-Standardschriftart"/>
    <w:uiPriority w:val="99"/>
    <w:semiHidden/>
    <w:unhideWhenUsed/>
    <w:rsid w:val="006C41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Funotentext">
    <w:name w:val="footnote text"/>
    <w:basedOn w:val="Standard"/>
    <w:link w:val="FunotentextZchn"/>
    <w:uiPriority w:val="99"/>
    <w:semiHidden/>
    <w:unhideWhenUsed/>
    <w:rsid w:val="006C41C4"/>
    <w:rPr>
      <w:sz w:val="20"/>
      <w:szCs w:val="20"/>
      <w:lang w:eastAsia="es-ES" w:bidi="es-ES"/>
    </w:rPr>
  </w:style>
  <w:style w:type="character" w:customStyle="1" w:styleId="FunotentextZchn">
    <w:name w:val="Fußnotentext Zchn"/>
    <w:basedOn w:val="Absatz-Standardschriftart"/>
    <w:link w:val="Funotentext"/>
    <w:uiPriority w:val="99"/>
    <w:semiHidden/>
    <w:rsid w:val="006C41C4"/>
    <w:rPr>
      <w:rFonts w:ascii="Times New Roman" w:eastAsia="Times New Roman" w:hAnsi="Times New Roman" w:cs="Times New Roman"/>
      <w:sz w:val="20"/>
      <w:szCs w:val="20"/>
      <w:lang w:val="es-ES" w:eastAsia="es-ES" w:bidi="es-ES"/>
    </w:rPr>
  </w:style>
  <w:style w:type="character" w:styleId="Funotenzeichen">
    <w:name w:val="footnote reference"/>
    <w:basedOn w:val="Absatz-Standardschriftart"/>
    <w:uiPriority w:val="99"/>
    <w:semiHidden/>
    <w:unhideWhenUsed/>
    <w:rsid w:val="006C4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849D2-E7B6-490D-A895-BC86E2F0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Vorlage_Pressemitteilung_es_NEU.dotx</Template>
  <TotalTime>0</TotalTime>
  <Pages>3</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Wente</dc:creator>
  <cp:lastModifiedBy>Nicole Materne</cp:lastModifiedBy>
  <cp:revision>3</cp:revision>
  <dcterms:created xsi:type="dcterms:W3CDTF">2018-09-25T12:07:00Z</dcterms:created>
  <dcterms:modified xsi:type="dcterms:W3CDTF">2018-09-25T12:54:00Z</dcterms:modified>
</cp:coreProperties>
</file>