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FB1B9" w14:textId="3E7B651A" w:rsidR="001E6601" w:rsidRPr="00FB09EC" w:rsidRDefault="009253A3" w:rsidP="00CB65DD">
      <w:pPr>
        <w:pStyle w:val="Kommentartext"/>
        <w:spacing w:after="240" w:line="360" w:lineRule="auto"/>
        <w:jc w:val="both"/>
        <w:rPr>
          <w:b/>
          <w:bCs/>
          <w:sz w:val="28"/>
          <w:szCs w:val="23"/>
        </w:rPr>
      </w:pPr>
      <w:r w:rsidRPr="00FB09EC">
        <w:rPr>
          <w:b/>
          <w:sz w:val="28"/>
        </w:rPr>
        <w:t>MEYLE</w:t>
      </w:r>
      <w:r w:rsidR="00F03DE7">
        <w:rPr>
          <w:b/>
          <w:sz w:val="28"/>
        </w:rPr>
        <w:t xml:space="preserve"> </w:t>
      </w:r>
      <w:r w:rsidR="00791961">
        <w:rPr>
          <w:b/>
          <w:sz w:val="28"/>
        </w:rPr>
        <w:t>Performance</w:t>
      </w:r>
      <w:r w:rsidRPr="00FB09EC">
        <w:rPr>
          <w:b/>
          <w:sz w:val="28"/>
        </w:rPr>
        <w:t>: MEYLE prosegue nella sua sponsorizzazione vincente degli sport motoristici e si appresta ad affrontare una stagione 2022 molto promettente</w:t>
      </w:r>
      <w:r w:rsidR="00A86EBF">
        <w:rPr>
          <w:b/>
          <w:sz w:val="28"/>
        </w:rPr>
        <w:tab/>
      </w:r>
    </w:p>
    <w:p w14:paraId="21532A9C" w14:textId="45DE89D7" w:rsidR="003049BC" w:rsidRPr="00FB09EC" w:rsidRDefault="00DA3503" w:rsidP="003049BC">
      <w:pPr>
        <w:spacing w:line="360" w:lineRule="auto"/>
        <w:jc w:val="both"/>
        <w:rPr>
          <w:b/>
          <w:bCs/>
          <w:szCs w:val="23"/>
        </w:rPr>
      </w:pPr>
      <w:r w:rsidRPr="00FB09EC">
        <w:rPr>
          <w:b/>
          <w:u w:val="single"/>
        </w:rPr>
        <w:t>Amburgo,</w:t>
      </w:r>
      <w:r w:rsidR="004421D1">
        <w:rPr>
          <w:b/>
          <w:u w:val="single"/>
        </w:rPr>
        <w:t xml:space="preserve"> 13</w:t>
      </w:r>
      <w:r w:rsidRPr="00FB09EC">
        <w:rPr>
          <w:b/>
          <w:u w:val="single"/>
        </w:rPr>
        <w:t xml:space="preserve"> aprile 2022.</w:t>
      </w:r>
      <w:r w:rsidRPr="00FB09EC">
        <w:rPr>
          <w:b/>
        </w:rPr>
        <w:t xml:space="preserve"> Per MEYLE, il legame con gli sport motoristici ha una lunga tradizione, dato che questi, quale campo di prova in condizioni reali, svolgono un ruolo assolutamente centrale per lo sviluppo dei prodotti. Anche per questo il produttore amburghese non vede l’ora che inizi la nuova stagione, per proseguire la sponsorizzazione delle squadre T3 Motorsport, SL </w:t>
      </w:r>
      <w:proofErr w:type="spellStart"/>
      <w:r w:rsidRPr="00FB09EC">
        <w:rPr>
          <w:b/>
        </w:rPr>
        <w:t>Trucksport</w:t>
      </w:r>
      <w:proofErr w:type="spellEnd"/>
      <w:r w:rsidRPr="00FB09EC">
        <w:rPr>
          <w:b/>
        </w:rPr>
        <w:t xml:space="preserve"> 30 e l’impegno nel campionato tedesco rally con Christian </w:t>
      </w:r>
      <w:proofErr w:type="spellStart"/>
      <w:r w:rsidRPr="00FB09EC">
        <w:rPr>
          <w:b/>
        </w:rPr>
        <w:t>Riedemann</w:t>
      </w:r>
      <w:proofErr w:type="spellEnd"/>
      <w:r w:rsidRPr="00FB09EC">
        <w:rPr>
          <w:b/>
        </w:rPr>
        <w:t xml:space="preserve">. Oltre alla partenza di T3 Motorsport nell’ADAC GT Masters, la squadra corse parteciperà per la prima volta con un’Audi R8 LMS GT4 al DTM Trophy. I piloti potranno contare sulla competenza degli ingegneri MEYLE. Una cosa che merita particolare attenzione per MEYLE è il sostegno per un’altra stagione alla squadra Junior dell’Opel e-Rally, per dimostrare che sport motoristici e sostenibilità sono assolutamente conciliabili. </w:t>
      </w:r>
    </w:p>
    <w:p w14:paraId="62844524" w14:textId="77777777" w:rsidR="000D3647" w:rsidRPr="004421D1" w:rsidRDefault="000D3647" w:rsidP="001E65FA">
      <w:pPr>
        <w:spacing w:line="360" w:lineRule="auto"/>
        <w:jc w:val="both"/>
        <w:rPr>
          <w:b/>
          <w:bCs/>
          <w:szCs w:val="23"/>
        </w:rPr>
      </w:pPr>
    </w:p>
    <w:p w14:paraId="18C3EF8F" w14:textId="09C6CF28" w:rsidR="0057482B" w:rsidRPr="00FA3116" w:rsidRDefault="003F012C" w:rsidP="001E65FA">
      <w:pPr>
        <w:spacing w:line="360" w:lineRule="auto"/>
        <w:jc w:val="both"/>
        <w:rPr>
          <w:b/>
        </w:rPr>
      </w:pPr>
      <w:r w:rsidRPr="004421D1">
        <w:rPr>
          <w:b/>
        </w:rPr>
        <w:t>T3 Motorsport: l’impegno principale di MEYLE prosegue</w:t>
      </w:r>
      <w:r w:rsidR="004421D1">
        <w:rPr>
          <w:b/>
        </w:rPr>
        <w:tab/>
      </w:r>
      <w:r w:rsidR="004421D1">
        <w:rPr>
          <w:b/>
        </w:rPr>
        <w:br/>
      </w:r>
      <w:r w:rsidR="00805EFA" w:rsidRPr="00FB09EC">
        <w:t xml:space="preserve">Gli ingegneri MEYLE saranno presenti anche quest’anno alle gare, per far confluire le competenze e le conoscenze delle piste nello sviluppo di componenti interno all’azienda. Con ogni chilometro sul circuito vengono generati dati preziosi, fondamentali per lo sviluppo ulteriore e l’ottimizzazione dell’assortimento di prodotti MEYLE. Al riguardo, MEYLE lavora già da alcuni anni con la squadra T3 Motorsport di Dresda. Come già negli ultimi anni, la collaborazione con </w:t>
      </w:r>
      <w:r w:rsidR="00805EFA" w:rsidRPr="00FB09EC">
        <w:rPr>
          <w:b/>
        </w:rPr>
        <w:t>T3 Motorsport</w:t>
      </w:r>
      <w:r w:rsidR="00805EFA" w:rsidRPr="00FB09EC">
        <w:t xml:space="preserve"> nell’</w:t>
      </w:r>
      <w:r w:rsidR="004421D1">
        <w:t xml:space="preserve"> </w:t>
      </w:r>
      <w:r w:rsidR="00805EFA" w:rsidRPr="00FB09EC">
        <w:rPr>
          <w:b/>
        </w:rPr>
        <w:t xml:space="preserve">ADAC GT </w:t>
      </w:r>
      <w:r w:rsidR="00501332">
        <w:rPr>
          <w:b/>
        </w:rPr>
        <w:t> </w:t>
      </w:r>
      <w:r w:rsidR="00805EFA" w:rsidRPr="00FB09EC">
        <w:rPr>
          <w:b/>
        </w:rPr>
        <w:t>Masters</w:t>
      </w:r>
      <w:r w:rsidR="00805EFA" w:rsidRPr="00FB09EC">
        <w:t xml:space="preserve"> rappresenta la focalizzazione principale dell’impegno di sponsorizzazione. Quest’anno, la cooperazione debutterà con un’Audi R8 LMS GT4 nel DTM Trophy. Inoltre, la Lamborghini </w:t>
      </w:r>
      <w:proofErr w:type="spellStart"/>
      <w:r w:rsidR="00805EFA" w:rsidRPr="00FB09EC">
        <w:rPr>
          <w:rFonts w:ascii="Helvetica" w:hAnsi="Helvetica"/>
          <w:color w:val="000000"/>
          <w:shd w:val="clear" w:color="auto" w:fill="FFFFFF"/>
        </w:rPr>
        <w:t>Huracán</w:t>
      </w:r>
      <w:proofErr w:type="spellEnd"/>
      <w:r w:rsidR="00805EFA" w:rsidRPr="00FB09EC">
        <w:rPr>
          <w:rFonts w:ascii="Helvetica" w:hAnsi="Helvetica"/>
          <w:color w:val="000000"/>
          <w:shd w:val="clear" w:color="auto" w:fill="FFFFFF"/>
        </w:rPr>
        <w:t xml:space="preserve"> GT3 Evo correrà per la seconda volta di seguito </w:t>
      </w:r>
      <w:r w:rsidR="00805EFA" w:rsidRPr="00FB09EC">
        <w:t xml:space="preserve">nell’ADAC GT Masters per T3. Entrambi i veicoli conquistano con un nuovissimo design MEYLE. Anche i piloti sono già stati decisi: </w:t>
      </w:r>
      <w:r w:rsidR="00805EFA" w:rsidRPr="00FB09EC">
        <w:rPr>
          <w:b/>
        </w:rPr>
        <w:t>Max Paul</w:t>
      </w:r>
      <w:r w:rsidR="00805EFA" w:rsidRPr="00FB09EC">
        <w:t xml:space="preserve"> rimane alla MEYLE in qualità di ambasciatore del marchio e riceve il sostegno del collaudatore </w:t>
      </w:r>
      <w:r w:rsidR="00805EFA" w:rsidRPr="00FB09EC">
        <w:lastRenderedPageBreak/>
        <w:t xml:space="preserve">Lamborghini </w:t>
      </w:r>
      <w:r w:rsidR="00805EFA" w:rsidRPr="00FB09EC">
        <w:rPr>
          <w:b/>
        </w:rPr>
        <w:t>Marco Mapelli</w:t>
      </w:r>
      <w:r w:rsidR="00805EFA" w:rsidRPr="00770286">
        <w:rPr>
          <w:bCs/>
        </w:rPr>
        <w:t>.</w:t>
      </w:r>
      <w:r w:rsidR="00805EFA" w:rsidRPr="00FB09EC">
        <w:t xml:space="preserve"> I due formano una coppia di piloti eccezionale, con la quale T3 spera di conquistare molti podi nelle gare di quest’anno. André </w:t>
      </w:r>
      <w:proofErr w:type="spellStart"/>
      <w:r w:rsidR="00805EFA" w:rsidRPr="00FB09EC">
        <w:t>Huschke</w:t>
      </w:r>
      <w:proofErr w:type="spellEnd"/>
      <w:r w:rsidR="00805EFA" w:rsidRPr="00FB09EC">
        <w:t>, caposettore MEYLE per la gestione dei prodotti, l’ingegneria e la gestione dei dati, non vede l’ora che parta la nuova stagione: “MEYLE vuole essere al fianco di T3 Motorsport sui circuiti con i suoi esperti ingegneri, per creare i migliori presupposti per ottenere un veicolo tarato al meglio e realizzare delle prestazioni eccezionali”.</w:t>
      </w:r>
    </w:p>
    <w:p w14:paraId="48D2AB15" w14:textId="77777777" w:rsidR="000D3647" w:rsidRPr="00FB09EC" w:rsidRDefault="000D3647" w:rsidP="001E65FA">
      <w:pPr>
        <w:spacing w:line="360" w:lineRule="auto"/>
        <w:jc w:val="both"/>
        <w:rPr>
          <w:szCs w:val="23"/>
        </w:rPr>
      </w:pPr>
    </w:p>
    <w:p w14:paraId="7DB8961A" w14:textId="2B05D4AD" w:rsidR="009626D7" w:rsidRPr="004421D1" w:rsidRDefault="003A690B" w:rsidP="00DB068C">
      <w:pPr>
        <w:spacing w:line="360" w:lineRule="auto"/>
        <w:jc w:val="both"/>
        <w:rPr>
          <w:b/>
          <w:bCs/>
          <w:szCs w:val="23"/>
        </w:rPr>
      </w:pPr>
      <w:r w:rsidRPr="00FB09EC">
        <w:rPr>
          <w:b/>
        </w:rPr>
        <w:t xml:space="preserve">SL </w:t>
      </w:r>
      <w:proofErr w:type="spellStart"/>
      <w:r w:rsidRPr="00FB09EC">
        <w:rPr>
          <w:b/>
        </w:rPr>
        <w:t>Trucksport</w:t>
      </w:r>
      <w:proofErr w:type="spellEnd"/>
      <w:r w:rsidRPr="00FB09EC">
        <w:rPr>
          <w:b/>
        </w:rPr>
        <w:t xml:space="preserve"> 30: </w:t>
      </w:r>
      <w:proofErr w:type="spellStart"/>
      <w:r w:rsidRPr="00FB09EC">
        <w:rPr>
          <w:b/>
        </w:rPr>
        <w:t>Sascha</w:t>
      </w:r>
      <w:proofErr w:type="spellEnd"/>
      <w:r w:rsidRPr="00FB09EC">
        <w:rPr>
          <w:b/>
        </w:rPr>
        <w:t xml:space="preserve"> </w:t>
      </w:r>
      <w:proofErr w:type="spellStart"/>
      <w:r w:rsidRPr="00FB09EC">
        <w:rPr>
          <w:b/>
        </w:rPr>
        <w:t>Lenz</w:t>
      </w:r>
      <w:proofErr w:type="spellEnd"/>
      <w:r w:rsidRPr="00FB09EC">
        <w:rPr>
          <w:b/>
        </w:rPr>
        <w:t xml:space="preserve"> al via ancora una volta con il camion “</w:t>
      </w:r>
      <w:proofErr w:type="spellStart"/>
      <w:r w:rsidRPr="00FB09EC">
        <w:rPr>
          <w:b/>
        </w:rPr>
        <w:t>Nala</w:t>
      </w:r>
      <w:proofErr w:type="spellEnd"/>
      <w:r w:rsidRPr="00FB09EC">
        <w:rPr>
          <w:b/>
        </w:rPr>
        <w:t>”</w:t>
      </w:r>
      <w:r w:rsidR="00501332">
        <w:rPr>
          <w:b/>
        </w:rPr>
        <w:tab/>
      </w:r>
      <w:r w:rsidR="004421D1">
        <w:rPr>
          <w:b/>
        </w:rPr>
        <w:br/>
      </w:r>
      <w:r w:rsidR="00E264F6" w:rsidRPr="00FB09EC">
        <w:t xml:space="preserve">Nel 2021 il </w:t>
      </w:r>
      <w:r w:rsidR="00E264F6" w:rsidRPr="00FB09EC">
        <w:rPr>
          <w:b/>
        </w:rPr>
        <w:t xml:space="preserve">FIA </w:t>
      </w:r>
      <w:proofErr w:type="spellStart"/>
      <w:r w:rsidR="00E264F6" w:rsidRPr="00FB09EC">
        <w:rPr>
          <w:b/>
        </w:rPr>
        <w:t>European</w:t>
      </w:r>
      <w:proofErr w:type="spellEnd"/>
      <w:r w:rsidR="00E264F6" w:rsidRPr="00FB09EC">
        <w:rPr>
          <w:b/>
        </w:rPr>
        <w:t xml:space="preserve"> Truck Racing Championship</w:t>
      </w:r>
      <w:r w:rsidR="00E264F6" w:rsidRPr="00FB09EC">
        <w:t xml:space="preserve"> è tornato a svolgersi regolarmente dopo la sosta dovuta alla pandemia. L’impegno per la sponsorizzazione con </w:t>
      </w:r>
      <w:proofErr w:type="spellStart"/>
      <w:r w:rsidR="00E264F6" w:rsidRPr="00FB09EC">
        <w:t>Sascha</w:t>
      </w:r>
      <w:proofErr w:type="spellEnd"/>
      <w:r w:rsidR="00E264F6" w:rsidRPr="00FB09EC">
        <w:t xml:space="preserve"> </w:t>
      </w:r>
      <w:proofErr w:type="spellStart"/>
      <w:r w:rsidR="00E264F6" w:rsidRPr="00FB09EC">
        <w:t>Lenz</w:t>
      </w:r>
      <w:proofErr w:type="spellEnd"/>
      <w:r w:rsidR="00E264F6" w:rsidRPr="00FB09EC">
        <w:t xml:space="preserve"> verrà proseguito anche quest’anno. Il vicecampione, che vorrebbe proseguire sulla scia dell’ultima stagione vincente con numerosi podi, è equipaggiato al meglio per riuscire nel suo intento con il camion “</w:t>
      </w:r>
      <w:proofErr w:type="spellStart"/>
      <w:r w:rsidR="00E264F6" w:rsidRPr="00FB09EC">
        <w:t>Nala</w:t>
      </w:r>
      <w:proofErr w:type="spellEnd"/>
      <w:r w:rsidR="00E264F6" w:rsidRPr="00FB09EC">
        <w:t xml:space="preserve">”, dotato di 15 componenti MEYLE in grado di resistere senza problemi anche alle condizioni estreme delle gare dei camion. </w:t>
      </w:r>
    </w:p>
    <w:p w14:paraId="3BB7CB35" w14:textId="77777777" w:rsidR="001E6F75" w:rsidRPr="004421D1" w:rsidRDefault="001E6F75" w:rsidP="001E65FA">
      <w:pPr>
        <w:spacing w:line="360" w:lineRule="auto"/>
        <w:jc w:val="both"/>
        <w:rPr>
          <w:szCs w:val="23"/>
        </w:rPr>
      </w:pPr>
    </w:p>
    <w:p w14:paraId="10F9C02E" w14:textId="3BF0910A" w:rsidR="008B3EA2" w:rsidRPr="004421D1" w:rsidRDefault="00755482" w:rsidP="001E65FA">
      <w:pPr>
        <w:spacing w:line="360" w:lineRule="auto"/>
        <w:jc w:val="both"/>
        <w:rPr>
          <w:b/>
          <w:bCs/>
          <w:szCs w:val="23"/>
        </w:rPr>
      </w:pPr>
      <w:r w:rsidRPr="00FB09EC">
        <w:rPr>
          <w:b/>
        </w:rPr>
        <w:t>DRM &amp; ADAC Opel e-Rally: MEYLE ha lo sguardo puntato sulle nuove tecnologie di propulsione</w:t>
      </w:r>
      <w:r w:rsidR="004421D1">
        <w:rPr>
          <w:b/>
        </w:rPr>
        <w:tab/>
      </w:r>
      <w:r w:rsidR="000D3647">
        <w:rPr>
          <w:b/>
        </w:rPr>
        <w:tab/>
      </w:r>
      <w:r w:rsidR="004421D1">
        <w:rPr>
          <w:b/>
        </w:rPr>
        <w:br/>
      </w:r>
      <w:r w:rsidR="00761190" w:rsidRPr="00FB09EC">
        <w:t xml:space="preserve">Dopo l’ultima stagione vincente, prosegue anche l’impegno di MEYLE nel </w:t>
      </w:r>
      <w:r w:rsidR="00761190" w:rsidRPr="00FB09EC">
        <w:rPr>
          <w:b/>
        </w:rPr>
        <w:t>campionato tedesco rally</w:t>
      </w:r>
      <w:r w:rsidR="00761190" w:rsidRPr="00FB09EC">
        <w:t xml:space="preserve"> con </w:t>
      </w:r>
      <w:r w:rsidR="00761190" w:rsidRPr="00FB09EC">
        <w:rPr>
          <w:b/>
        </w:rPr>
        <w:t xml:space="preserve">Christian </w:t>
      </w:r>
      <w:proofErr w:type="spellStart"/>
      <w:r w:rsidR="00761190" w:rsidRPr="00FB09EC">
        <w:rPr>
          <w:b/>
        </w:rPr>
        <w:t>Riedemann</w:t>
      </w:r>
      <w:proofErr w:type="spellEnd"/>
      <w:r w:rsidR="00761190" w:rsidRPr="00FB09EC">
        <w:t xml:space="preserve">. Quale partner per la sponsorizzazione, nella cooperazione con Christian </w:t>
      </w:r>
      <w:proofErr w:type="spellStart"/>
      <w:r w:rsidR="00761190" w:rsidRPr="00FB09EC">
        <w:t>Riedemann</w:t>
      </w:r>
      <w:proofErr w:type="spellEnd"/>
      <w:r w:rsidR="00761190" w:rsidRPr="00FB09EC">
        <w:t xml:space="preserve"> MEYLE dà particolare valore alla squadra Junior gestita da quest’ultimo, che nella nuova stagione parteciperà per la seconda volta consecutiva all’</w:t>
      </w:r>
      <w:r w:rsidR="00761190" w:rsidRPr="00FB09EC">
        <w:rPr>
          <w:b/>
        </w:rPr>
        <w:t>ADAC Opel e-Rally</w:t>
      </w:r>
      <w:r w:rsidR="00761190" w:rsidRPr="00FB09EC">
        <w:t xml:space="preserve">. Lo scorso anno si è tenuta la prima edizione del campionato rally elettrico – MEYLE era in prima fila e rimane fedele allo spirito pionieristico del fondatore Wulf </w:t>
      </w:r>
      <w:proofErr w:type="spellStart"/>
      <w:r w:rsidR="00761190" w:rsidRPr="00FB09EC">
        <w:t>Gaertner</w:t>
      </w:r>
      <w:proofErr w:type="spellEnd"/>
      <w:r w:rsidR="00761190" w:rsidRPr="00FB09EC">
        <w:t xml:space="preserve">, a sua volta appassionato pilota automobilistico. André </w:t>
      </w:r>
      <w:proofErr w:type="spellStart"/>
      <w:r w:rsidR="00761190" w:rsidRPr="00FB09EC">
        <w:t>Huschke</w:t>
      </w:r>
      <w:proofErr w:type="spellEnd"/>
      <w:r w:rsidR="00761190" w:rsidRPr="00FB09EC">
        <w:t xml:space="preserve"> spiega: “Con l’impegno nell’Opel e-Rally, MEYLE intende riaffermare questo spirito pionieristico con questa collaborazione, sviluppando dei componenti di qualità premium per le nuove tecnologie di propulsione e sostenendo al meglio il collegamento degli sport motoristici tradizionali con un futuro </w:t>
      </w:r>
      <w:r w:rsidR="00761190" w:rsidRPr="00FB09EC">
        <w:lastRenderedPageBreak/>
        <w:t xml:space="preserve">sostenibile”. </w:t>
      </w:r>
      <w:r w:rsidR="004421D1">
        <w:tab/>
      </w:r>
      <w:r w:rsidR="004421D1">
        <w:br/>
      </w:r>
    </w:p>
    <w:p w14:paraId="041F43F0" w14:textId="5FF2EB0D" w:rsidR="00DB068C" w:rsidRPr="00FB09EC" w:rsidRDefault="00DB068C" w:rsidP="001E65FA">
      <w:pPr>
        <w:spacing w:line="360" w:lineRule="auto"/>
        <w:jc w:val="both"/>
        <w:rPr>
          <w:rFonts w:cs="Arial"/>
          <w:b/>
          <w:bCs/>
        </w:rPr>
      </w:pPr>
      <w:r w:rsidRPr="00FB09EC">
        <w:rPr>
          <w:b/>
        </w:rPr>
        <w:t>Le date delle gare:</w:t>
      </w:r>
    </w:p>
    <w:p w14:paraId="0D49B814" w14:textId="77777777" w:rsidR="00DB068C" w:rsidRPr="00FB09EC" w:rsidRDefault="00DB068C" w:rsidP="00DB068C">
      <w:pPr>
        <w:spacing w:line="360" w:lineRule="auto"/>
        <w:jc w:val="both"/>
        <w:rPr>
          <w:rFonts w:cs="Arial"/>
        </w:rPr>
      </w:pPr>
      <w:r w:rsidRPr="00FB09EC">
        <w:t>Le gare dell’</w:t>
      </w:r>
      <w:r w:rsidRPr="00FB09EC">
        <w:rPr>
          <w:b/>
        </w:rPr>
        <w:t>ADAC GT Masters</w:t>
      </w:r>
      <w:r w:rsidRPr="00FB09EC">
        <w:t xml:space="preserve"> si svolgeranno in questi fine-settimana:</w:t>
      </w:r>
    </w:p>
    <w:tbl>
      <w:tblPr>
        <w:tblW w:w="8789" w:type="dxa"/>
        <w:tblCellMar>
          <w:left w:w="0" w:type="dxa"/>
          <w:right w:w="0" w:type="dxa"/>
        </w:tblCellMar>
        <w:tblLook w:val="0600" w:firstRow="0" w:lastRow="0" w:firstColumn="0" w:lastColumn="0" w:noHBand="1" w:noVBand="1"/>
      </w:tblPr>
      <w:tblGrid>
        <w:gridCol w:w="4020"/>
        <w:gridCol w:w="4769"/>
      </w:tblGrid>
      <w:tr w:rsidR="00DB068C" w:rsidRPr="00FB09EC" w14:paraId="3BE5A29B" w14:textId="77777777" w:rsidTr="004170F5">
        <w:trPr>
          <w:trHeight w:val="389"/>
        </w:trPr>
        <w:tc>
          <w:tcPr>
            <w:tcW w:w="4020" w:type="dxa"/>
            <w:tcMar>
              <w:top w:w="15" w:type="dxa"/>
              <w:left w:w="15" w:type="dxa"/>
              <w:bottom w:w="0" w:type="dxa"/>
              <w:right w:w="15" w:type="dxa"/>
            </w:tcMar>
            <w:vAlign w:val="center"/>
            <w:hideMark/>
          </w:tcPr>
          <w:p w14:paraId="602793F5" w14:textId="77777777" w:rsidR="00DB068C" w:rsidRPr="00FB09EC" w:rsidRDefault="00DB068C" w:rsidP="004170F5">
            <w:pPr>
              <w:rPr>
                <w:rFonts w:cs="Arial"/>
              </w:rPr>
            </w:pPr>
            <w:r w:rsidRPr="00FB09EC">
              <w:t>22 – 24 aprile 2022</w:t>
            </w:r>
          </w:p>
        </w:tc>
        <w:tc>
          <w:tcPr>
            <w:tcW w:w="4769" w:type="dxa"/>
            <w:tcMar>
              <w:top w:w="15" w:type="dxa"/>
              <w:left w:w="15" w:type="dxa"/>
              <w:bottom w:w="0" w:type="dxa"/>
              <w:right w:w="15" w:type="dxa"/>
            </w:tcMar>
            <w:vAlign w:val="center"/>
            <w:hideMark/>
          </w:tcPr>
          <w:p w14:paraId="6963FCC9" w14:textId="77777777" w:rsidR="00DB068C" w:rsidRPr="00FB09EC" w:rsidRDefault="00DB068C" w:rsidP="004170F5">
            <w:pPr>
              <w:rPr>
                <w:rFonts w:cs="Arial"/>
              </w:rPr>
            </w:pPr>
            <w:r w:rsidRPr="00FB09EC">
              <w:t xml:space="preserve">Motorsport Arena </w:t>
            </w:r>
            <w:proofErr w:type="spellStart"/>
            <w:r w:rsidRPr="00FB09EC">
              <w:t>Oschersleben</w:t>
            </w:r>
            <w:proofErr w:type="spellEnd"/>
            <w:r w:rsidRPr="00FB09EC">
              <w:t xml:space="preserve"> (DE)</w:t>
            </w:r>
          </w:p>
        </w:tc>
      </w:tr>
      <w:tr w:rsidR="00DB068C" w:rsidRPr="00FB09EC" w14:paraId="4021148C" w14:textId="77777777" w:rsidTr="004170F5">
        <w:trPr>
          <w:trHeight w:val="134"/>
        </w:trPr>
        <w:tc>
          <w:tcPr>
            <w:tcW w:w="4020" w:type="dxa"/>
            <w:tcMar>
              <w:top w:w="15" w:type="dxa"/>
              <w:left w:w="15" w:type="dxa"/>
              <w:bottom w:w="0" w:type="dxa"/>
              <w:right w:w="15" w:type="dxa"/>
            </w:tcMar>
            <w:vAlign w:val="center"/>
            <w:hideMark/>
          </w:tcPr>
          <w:p w14:paraId="739BEA40" w14:textId="77777777" w:rsidR="00DB068C" w:rsidRPr="00FB09EC" w:rsidRDefault="00DB068C" w:rsidP="004170F5">
            <w:pPr>
              <w:rPr>
                <w:rFonts w:cs="Arial"/>
              </w:rPr>
            </w:pPr>
            <w:r w:rsidRPr="00FB09EC">
              <w:t>20 – 22 maggio 2022</w:t>
            </w:r>
          </w:p>
        </w:tc>
        <w:tc>
          <w:tcPr>
            <w:tcW w:w="4769" w:type="dxa"/>
            <w:tcMar>
              <w:top w:w="15" w:type="dxa"/>
              <w:left w:w="15" w:type="dxa"/>
              <w:bottom w:w="0" w:type="dxa"/>
              <w:right w:w="15" w:type="dxa"/>
            </w:tcMar>
            <w:vAlign w:val="center"/>
            <w:hideMark/>
          </w:tcPr>
          <w:p w14:paraId="3F768034" w14:textId="77777777" w:rsidR="00DB068C" w:rsidRPr="00FB09EC" w:rsidRDefault="00DB068C" w:rsidP="004170F5">
            <w:pPr>
              <w:rPr>
                <w:rFonts w:cs="Arial"/>
              </w:rPr>
            </w:pPr>
            <w:r w:rsidRPr="00FB09EC">
              <w:t>Red Bull Ring (A)</w:t>
            </w:r>
          </w:p>
        </w:tc>
      </w:tr>
      <w:tr w:rsidR="00DB068C" w:rsidRPr="00FB09EC" w14:paraId="3D425F75" w14:textId="77777777" w:rsidTr="004170F5">
        <w:trPr>
          <w:trHeight w:val="88"/>
        </w:trPr>
        <w:tc>
          <w:tcPr>
            <w:tcW w:w="4020" w:type="dxa"/>
            <w:tcMar>
              <w:top w:w="15" w:type="dxa"/>
              <w:left w:w="15" w:type="dxa"/>
              <w:bottom w:w="0" w:type="dxa"/>
              <w:right w:w="15" w:type="dxa"/>
            </w:tcMar>
            <w:vAlign w:val="center"/>
            <w:hideMark/>
          </w:tcPr>
          <w:p w14:paraId="501E078A" w14:textId="77777777" w:rsidR="00DB068C" w:rsidRPr="00FB09EC" w:rsidRDefault="00DB068C" w:rsidP="004170F5">
            <w:pPr>
              <w:rPr>
                <w:rFonts w:cs="Arial"/>
              </w:rPr>
            </w:pPr>
            <w:r w:rsidRPr="00FB09EC">
              <w:t>24 – 26 giugno 2022</w:t>
            </w:r>
          </w:p>
        </w:tc>
        <w:tc>
          <w:tcPr>
            <w:tcW w:w="4769" w:type="dxa"/>
            <w:tcMar>
              <w:top w:w="15" w:type="dxa"/>
              <w:left w:w="15" w:type="dxa"/>
              <w:bottom w:w="0" w:type="dxa"/>
              <w:right w:w="15" w:type="dxa"/>
            </w:tcMar>
            <w:vAlign w:val="center"/>
            <w:hideMark/>
          </w:tcPr>
          <w:p w14:paraId="2B141A51" w14:textId="77777777" w:rsidR="00DB068C" w:rsidRPr="00FB09EC" w:rsidRDefault="00DB068C" w:rsidP="004170F5">
            <w:pPr>
              <w:rPr>
                <w:rFonts w:cs="Arial"/>
              </w:rPr>
            </w:pPr>
            <w:r w:rsidRPr="00FB09EC">
              <w:t>Circuit Zandvoort (NL)</w:t>
            </w:r>
          </w:p>
        </w:tc>
      </w:tr>
      <w:tr w:rsidR="00DB068C" w:rsidRPr="00FB09EC" w14:paraId="1C8C6D26" w14:textId="77777777" w:rsidTr="004170F5">
        <w:trPr>
          <w:trHeight w:val="88"/>
        </w:trPr>
        <w:tc>
          <w:tcPr>
            <w:tcW w:w="4020" w:type="dxa"/>
            <w:tcMar>
              <w:top w:w="15" w:type="dxa"/>
              <w:left w:w="15" w:type="dxa"/>
              <w:bottom w:w="0" w:type="dxa"/>
              <w:right w:w="15" w:type="dxa"/>
            </w:tcMar>
            <w:vAlign w:val="center"/>
            <w:hideMark/>
          </w:tcPr>
          <w:p w14:paraId="3654D0AA" w14:textId="77777777" w:rsidR="00DB068C" w:rsidRPr="00FB09EC" w:rsidRDefault="00DB068C" w:rsidP="004170F5">
            <w:pPr>
              <w:rPr>
                <w:rFonts w:cs="Arial"/>
              </w:rPr>
            </w:pPr>
            <w:r w:rsidRPr="00FB09EC">
              <w:t>05 – 07 agosto 2022</w:t>
            </w:r>
          </w:p>
        </w:tc>
        <w:tc>
          <w:tcPr>
            <w:tcW w:w="4769" w:type="dxa"/>
            <w:tcMar>
              <w:top w:w="15" w:type="dxa"/>
              <w:left w:w="15" w:type="dxa"/>
              <w:bottom w:w="0" w:type="dxa"/>
              <w:right w:w="15" w:type="dxa"/>
            </w:tcMar>
            <w:vAlign w:val="center"/>
            <w:hideMark/>
          </w:tcPr>
          <w:p w14:paraId="6ED5D655" w14:textId="77777777" w:rsidR="00DB068C" w:rsidRPr="00FB09EC" w:rsidRDefault="00DB068C" w:rsidP="004170F5">
            <w:pPr>
              <w:rPr>
                <w:rFonts w:cs="Arial"/>
              </w:rPr>
            </w:pPr>
            <w:r w:rsidRPr="00FB09EC">
              <w:t>Nürburgring (DE)</w:t>
            </w:r>
          </w:p>
        </w:tc>
      </w:tr>
      <w:tr w:rsidR="00DB068C" w:rsidRPr="00FB09EC" w14:paraId="1C372F30" w14:textId="77777777" w:rsidTr="004170F5">
        <w:trPr>
          <w:trHeight w:val="88"/>
        </w:trPr>
        <w:tc>
          <w:tcPr>
            <w:tcW w:w="4020" w:type="dxa"/>
            <w:tcMar>
              <w:top w:w="15" w:type="dxa"/>
              <w:left w:w="15" w:type="dxa"/>
              <w:bottom w:w="0" w:type="dxa"/>
              <w:right w:w="15" w:type="dxa"/>
            </w:tcMar>
            <w:vAlign w:val="center"/>
            <w:hideMark/>
          </w:tcPr>
          <w:p w14:paraId="5243FE6E" w14:textId="77777777" w:rsidR="00DB068C" w:rsidRPr="00FB09EC" w:rsidRDefault="00DB068C" w:rsidP="004170F5">
            <w:pPr>
              <w:rPr>
                <w:rFonts w:cs="Arial"/>
              </w:rPr>
            </w:pPr>
            <w:r w:rsidRPr="00FB09EC">
              <w:t>19 – 21 agosto 2022</w:t>
            </w:r>
          </w:p>
        </w:tc>
        <w:tc>
          <w:tcPr>
            <w:tcW w:w="4769" w:type="dxa"/>
            <w:tcMar>
              <w:top w:w="15" w:type="dxa"/>
              <w:left w:w="15" w:type="dxa"/>
              <w:bottom w:w="0" w:type="dxa"/>
              <w:right w:w="15" w:type="dxa"/>
            </w:tcMar>
            <w:vAlign w:val="center"/>
            <w:hideMark/>
          </w:tcPr>
          <w:p w14:paraId="1584A193" w14:textId="77777777" w:rsidR="00DB068C" w:rsidRPr="00FB09EC" w:rsidRDefault="00DB068C" w:rsidP="004170F5">
            <w:pPr>
              <w:rPr>
                <w:rFonts w:cs="Arial"/>
              </w:rPr>
            </w:pPr>
            <w:proofErr w:type="spellStart"/>
            <w:r w:rsidRPr="00FB09EC">
              <w:t>Lausitzring</w:t>
            </w:r>
            <w:proofErr w:type="spellEnd"/>
            <w:r w:rsidRPr="00FB09EC">
              <w:t xml:space="preserve"> (DE)</w:t>
            </w:r>
          </w:p>
        </w:tc>
      </w:tr>
      <w:tr w:rsidR="00DB068C" w:rsidRPr="00FB09EC" w14:paraId="22C7C37A" w14:textId="77777777" w:rsidTr="004170F5">
        <w:trPr>
          <w:trHeight w:val="88"/>
        </w:trPr>
        <w:tc>
          <w:tcPr>
            <w:tcW w:w="4020" w:type="dxa"/>
            <w:tcMar>
              <w:top w:w="15" w:type="dxa"/>
              <w:left w:w="15" w:type="dxa"/>
              <w:bottom w:w="0" w:type="dxa"/>
              <w:right w:w="15" w:type="dxa"/>
            </w:tcMar>
            <w:vAlign w:val="center"/>
            <w:hideMark/>
          </w:tcPr>
          <w:p w14:paraId="0C1A136A" w14:textId="77777777" w:rsidR="00DB068C" w:rsidRPr="00FB09EC" w:rsidRDefault="00DB068C" w:rsidP="004170F5">
            <w:pPr>
              <w:rPr>
                <w:rFonts w:cs="Arial"/>
              </w:rPr>
            </w:pPr>
            <w:r w:rsidRPr="00FB09EC">
              <w:t>23 – 25 settembre 2022</w:t>
            </w:r>
          </w:p>
        </w:tc>
        <w:tc>
          <w:tcPr>
            <w:tcW w:w="4769" w:type="dxa"/>
            <w:tcMar>
              <w:top w:w="15" w:type="dxa"/>
              <w:left w:w="15" w:type="dxa"/>
              <w:bottom w:w="0" w:type="dxa"/>
              <w:right w:w="15" w:type="dxa"/>
            </w:tcMar>
            <w:vAlign w:val="center"/>
            <w:hideMark/>
          </w:tcPr>
          <w:p w14:paraId="5F678E37" w14:textId="77777777" w:rsidR="00DB068C" w:rsidRPr="00FB09EC" w:rsidRDefault="00DB068C" w:rsidP="004170F5">
            <w:pPr>
              <w:rPr>
                <w:rFonts w:cs="Arial"/>
              </w:rPr>
            </w:pPr>
            <w:r w:rsidRPr="00FB09EC">
              <w:t>Sachsenring (DE)</w:t>
            </w:r>
          </w:p>
        </w:tc>
      </w:tr>
      <w:tr w:rsidR="00DB068C" w:rsidRPr="00FB09EC" w14:paraId="591C3B4D" w14:textId="77777777" w:rsidTr="004170F5">
        <w:trPr>
          <w:trHeight w:val="88"/>
        </w:trPr>
        <w:tc>
          <w:tcPr>
            <w:tcW w:w="4020" w:type="dxa"/>
            <w:tcMar>
              <w:top w:w="15" w:type="dxa"/>
              <w:left w:w="15" w:type="dxa"/>
              <w:bottom w:w="0" w:type="dxa"/>
              <w:right w:w="15" w:type="dxa"/>
            </w:tcMar>
            <w:vAlign w:val="center"/>
            <w:hideMark/>
          </w:tcPr>
          <w:p w14:paraId="64A2DD95" w14:textId="77777777" w:rsidR="00DB068C" w:rsidRPr="00FB09EC" w:rsidRDefault="00DB068C" w:rsidP="00CB65DD">
            <w:pPr>
              <w:spacing w:after="240"/>
              <w:rPr>
                <w:rFonts w:cs="Arial"/>
              </w:rPr>
            </w:pPr>
            <w:r w:rsidRPr="00FB09EC">
              <w:t>21 – 23 ottobre 2022</w:t>
            </w:r>
          </w:p>
        </w:tc>
        <w:tc>
          <w:tcPr>
            <w:tcW w:w="4769" w:type="dxa"/>
            <w:tcMar>
              <w:top w:w="15" w:type="dxa"/>
              <w:left w:w="15" w:type="dxa"/>
              <w:bottom w:w="0" w:type="dxa"/>
              <w:right w:w="15" w:type="dxa"/>
            </w:tcMar>
            <w:vAlign w:val="center"/>
            <w:hideMark/>
          </w:tcPr>
          <w:p w14:paraId="571B9B28" w14:textId="77777777" w:rsidR="00DB068C" w:rsidRPr="00FB09EC" w:rsidRDefault="00DB068C" w:rsidP="00CB65DD">
            <w:pPr>
              <w:spacing w:after="240"/>
              <w:rPr>
                <w:rFonts w:cs="Arial"/>
              </w:rPr>
            </w:pPr>
            <w:proofErr w:type="spellStart"/>
            <w:r w:rsidRPr="00FB09EC">
              <w:t>Hockenheimring</w:t>
            </w:r>
            <w:proofErr w:type="spellEnd"/>
            <w:r w:rsidRPr="00FB09EC">
              <w:t xml:space="preserve"> (DE)</w:t>
            </w:r>
          </w:p>
        </w:tc>
      </w:tr>
    </w:tbl>
    <w:p w14:paraId="660BA061" w14:textId="77777777" w:rsidR="00DB068C" w:rsidRPr="00FB09EC" w:rsidRDefault="00DB068C" w:rsidP="00DB068C">
      <w:pPr>
        <w:spacing w:line="360" w:lineRule="auto"/>
        <w:jc w:val="both"/>
        <w:rPr>
          <w:rFonts w:cs="Arial"/>
        </w:rPr>
      </w:pPr>
      <w:r w:rsidRPr="00FB09EC">
        <w:t xml:space="preserve">Le gare potranno essere seguite in diretta sul canale televisivo NITRO o tramite le piattaforme YouTube e Facebook. </w:t>
      </w:r>
    </w:p>
    <w:p w14:paraId="04D8D400" w14:textId="77777777" w:rsidR="00DB068C" w:rsidRPr="004421D1" w:rsidRDefault="00DB068C" w:rsidP="001E65FA">
      <w:pPr>
        <w:spacing w:line="360" w:lineRule="auto"/>
        <w:jc w:val="both"/>
        <w:rPr>
          <w:rFonts w:cs="Arial"/>
        </w:rPr>
      </w:pPr>
    </w:p>
    <w:p w14:paraId="204AE57B" w14:textId="086C4902" w:rsidR="00DB068C" w:rsidRPr="00FB09EC" w:rsidRDefault="00DB068C" w:rsidP="00DB068C">
      <w:pPr>
        <w:spacing w:line="360" w:lineRule="auto"/>
        <w:jc w:val="both"/>
        <w:rPr>
          <w:rFonts w:cs="Arial"/>
        </w:rPr>
      </w:pPr>
      <w:r w:rsidRPr="00FB09EC">
        <w:t xml:space="preserve">Le gare del </w:t>
      </w:r>
      <w:r w:rsidRPr="00FB09EC">
        <w:rPr>
          <w:b/>
        </w:rPr>
        <w:t xml:space="preserve">FIA </w:t>
      </w:r>
      <w:proofErr w:type="spellStart"/>
      <w:r w:rsidRPr="00FB09EC">
        <w:rPr>
          <w:b/>
        </w:rPr>
        <w:t>European</w:t>
      </w:r>
      <w:proofErr w:type="spellEnd"/>
      <w:r w:rsidRPr="00FB09EC">
        <w:rPr>
          <w:b/>
        </w:rPr>
        <w:t xml:space="preserve"> Truck Racing Championship</w:t>
      </w:r>
      <w:r w:rsidRPr="00FB09EC">
        <w:t xml:space="preserve"> si terranno a partire da maggio nei fine-settimana seguenti:</w:t>
      </w:r>
    </w:p>
    <w:tbl>
      <w:tblPr>
        <w:tblW w:w="8789" w:type="dxa"/>
        <w:tblCellMar>
          <w:left w:w="0" w:type="dxa"/>
          <w:right w:w="0" w:type="dxa"/>
        </w:tblCellMar>
        <w:tblLook w:val="0600" w:firstRow="0" w:lastRow="0" w:firstColumn="0" w:lastColumn="0" w:noHBand="1" w:noVBand="1"/>
      </w:tblPr>
      <w:tblGrid>
        <w:gridCol w:w="4020"/>
        <w:gridCol w:w="2625"/>
        <w:gridCol w:w="2144"/>
      </w:tblGrid>
      <w:tr w:rsidR="00DB068C" w:rsidRPr="00FB09EC" w14:paraId="115A75A8" w14:textId="77777777" w:rsidTr="004170F5">
        <w:trPr>
          <w:trHeight w:val="389"/>
        </w:trPr>
        <w:tc>
          <w:tcPr>
            <w:tcW w:w="4020" w:type="dxa"/>
            <w:tcMar>
              <w:top w:w="15" w:type="dxa"/>
              <w:left w:w="15" w:type="dxa"/>
              <w:bottom w:w="0" w:type="dxa"/>
              <w:right w:w="15" w:type="dxa"/>
            </w:tcMar>
            <w:vAlign w:val="center"/>
            <w:hideMark/>
          </w:tcPr>
          <w:p w14:paraId="745252DB" w14:textId="77777777" w:rsidR="00DB068C" w:rsidRPr="00FB09EC" w:rsidRDefault="00DB068C" w:rsidP="004170F5">
            <w:pPr>
              <w:rPr>
                <w:rFonts w:cs="Arial"/>
              </w:rPr>
            </w:pPr>
            <w:r w:rsidRPr="00FB09EC">
              <w:t>20 – 22 maggio 2022</w:t>
            </w:r>
          </w:p>
        </w:tc>
        <w:tc>
          <w:tcPr>
            <w:tcW w:w="4769" w:type="dxa"/>
            <w:gridSpan w:val="2"/>
            <w:tcMar>
              <w:top w:w="15" w:type="dxa"/>
              <w:left w:w="15" w:type="dxa"/>
              <w:bottom w:w="0" w:type="dxa"/>
              <w:right w:w="15" w:type="dxa"/>
            </w:tcMar>
            <w:vAlign w:val="center"/>
            <w:hideMark/>
          </w:tcPr>
          <w:p w14:paraId="15419E16" w14:textId="77777777" w:rsidR="00DB068C" w:rsidRPr="00FB09EC" w:rsidRDefault="00DB068C" w:rsidP="004170F5">
            <w:pPr>
              <w:rPr>
                <w:rFonts w:cs="Arial"/>
              </w:rPr>
            </w:pPr>
            <w:r w:rsidRPr="00FB09EC">
              <w:t>Misano (IT)</w:t>
            </w:r>
          </w:p>
        </w:tc>
      </w:tr>
      <w:tr w:rsidR="00DB068C" w:rsidRPr="00FB09EC" w14:paraId="5682A2BE" w14:textId="77777777" w:rsidTr="004170F5">
        <w:trPr>
          <w:trHeight w:val="134"/>
        </w:trPr>
        <w:tc>
          <w:tcPr>
            <w:tcW w:w="4020" w:type="dxa"/>
            <w:tcMar>
              <w:top w:w="15" w:type="dxa"/>
              <w:left w:w="15" w:type="dxa"/>
              <w:bottom w:w="0" w:type="dxa"/>
              <w:right w:w="15" w:type="dxa"/>
            </w:tcMar>
            <w:vAlign w:val="center"/>
            <w:hideMark/>
          </w:tcPr>
          <w:p w14:paraId="56606255" w14:textId="77777777" w:rsidR="00DB068C" w:rsidRPr="00FB09EC" w:rsidRDefault="00DB068C" w:rsidP="004170F5">
            <w:pPr>
              <w:rPr>
                <w:rFonts w:cs="Arial"/>
              </w:rPr>
            </w:pPr>
            <w:r w:rsidRPr="00FB09EC">
              <w:t>10 – 12 giugno 2022</w:t>
            </w:r>
          </w:p>
        </w:tc>
        <w:tc>
          <w:tcPr>
            <w:tcW w:w="4769" w:type="dxa"/>
            <w:gridSpan w:val="2"/>
            <w:tcMar>
              <w:top w:w="15" w:type="dxa"/>
              <w:left w:w="15" w:type="dxa"/>
              <w:bottom w:w="0" w:type="dxa"/>
              <w:right w:w="15" w:type="dxa"/>
            </w:tcMar>
            <w:vAlign w:val="center"/>
            <w:hideMark/>
          </w:tcPr>
          <w:p w14:paraId="4AA9287A" w14:textId="77777777" w:rsidR="00DB068C" w:rsidRPr="00FB09EC" w:rsidRDefault="00DB068C" w:rsidP="004170F5">
            <w:pPr>
              <w:rPr>
                <w:rFonts w:cs="Arial"/>
              </w:rPr>
            </w:pPr>
            <w:proofErr w:type="spellStart"/>
            <w:r w:rsidRPr="00FB09EC">
              <w:t>Hungaro</w:t>
            </w:r>
            <w:proofErr w:type="spellEnd"/>
            <w:r w:rsidRPr="00FB09EC">
              <w:t xml:space="preserve"> Ring (HUN)</w:t>
            </w:r>
          </w:p>
        </w:tc>
      </w:tr>
      <w:tr w:rsidR="00DB068C" w:rsidRPr="00FB09EC" w14:paraId="00F2927B" w14:textId="77777777" w:rsidTr="004170F5">
        <w:trPr>
          <w:trHeight w:val="88"/>
        </w:trPr>
        <w:tc>
          <w:tcPr>
            <w:tcW w:w="4020" w:type="dxa"/>
            <w:tcMar>
              <w:top w:w="15" w:type="dxa"/>
              <w:left w:w="15" w:type="dxa"/>
              <w:bottom w:w="0" w:type="dxa"/>
              <w:right w:w="15" w:type="dxa"/>
            </w:tcMar>
            <w:vAlign w:val="center"/>
            <w:hideMark/>
          </w:tcPr>
          <w:p w14:paraId="6CAA255E" w14:textId="77777777" w:rsidR="00DB068C" w:rsidRPr="00FB09EC" w:rsidRDefault="00DB068C" w:rsidP="004170F5">
            <w:pPr>
              <w:rPr>
                <w:rFonts w:cs="Arial"/>
              </w:rPr>
            </w:pPr>
            <w:r w:rsidRPr="00FB09EC">
              <w:t>15 – 17 luglio 2022</w:t>
            </w:r>
          </w:p>
        </w:tc>
        <w:tc>
          <w:tcPr>
            <w:tcW w:w="4769" w:type="dxa"/>
            <w:gridSpan w:val="2"/>
            <w:tcMar>
              <w:top w:w="15" w:type="dxa"/>
              <w:left w:w="15" w:type="dxa"/>
              <w:bottom w:w="0" w:type="dxa"/>
              <w:right w:w="15" w:type="dxa"/>
            </w:tcMar>
            <w:vAlign w:val="center"/>
            <w:hideMark/>
          </w:tcPr>
          <w:p w14:paraId="566878E3" w14:textId="77777777" w:rsidR="00DB068C" w:rsidRPr="00FB09EC" w:rsidRDefault="00DB068C" w:rsidP="004170F5">
            <w:pPr>
              <w:rPr>
                <w:rFonts w:cs="Arial"/>
              </w:rPr>
            </w:pPr>
            <w:r w:rsidRPr="00FB09EC">
              <w:t>Nürburgring (DE)</w:t>
            </w:r>
          </w:p>
        </w:tc>
      </w:tr>
      <w:tr w:rsidR="00DB068C" w:rsidRPr="00FB09EC" w14:paraId="49B652FA" w14:textId="77777777" w:rsidTr="004170F5">
        <w:trPr>
          <w:trHeight w:val="88"/>
        </w:trPr>
        <w:tc>
          <w:tcPr>
            <w:tcW w:w="4020" w:type="dxa"/>
            <w:tcMar>
              <w:top w:w="15" w:type="dxa"/>
              <w:left w:w="15" w:type="dxa"/>
              <w:bottom w:w="0" w:type="dxa"/>
              <w:right w:w="15" w:type="dxa"/>
            </w:tcMar>
            <w:vAlign w:val="center"/>
            <w:hideMark/>
          </w:tcPr>
          <w:p w14:paraId="74EA2F61" w14:textId="77777777" w:rsidR="00DB068C" w:rsidRPr="00FB09EC" w:rsidRDefault="00DB068C" w:rsidP="004170F5">
            <w:pPr>
              <w:rPr>
                <w:rFonts w:cs="Arial"/>
              </w:rPr>
            </w:pPr>
            <w:r w:rsidRPr="00FB09EC">
              <w:t>02 – 04 settembre 2022</w:t>
            </w:r>
          </w:p>
        </w:tc>
        <w:tc>
          <w:tcPr>
            <w:tcW w:w="4769" w:type="dxa"/>
            <w:gridSpan w:val="2"/>
            <w:tcMar>
              <w:top w:w="15" w:type="dxa"/>
              <w:left w:w="15" w:type="dxa"/>
              <w:bottom w:w="0" w:type="dxa"/>
              <w:right w:w="15" w:type="dxa"/>
            </w:tcMar>
            <w:vAlign w:val="center"/>
            <w:hideMark/>
          </w:tcPr>
          <w:p w14:paraId="57288D01" w14:textId="77777777" w:rsidR="00DB068C" w:rsidRPr="00FB09EC" w:rsidRDefault="00DB068C" w:rsidP="004170F5">
            <w:pPr>
              <w:rPr>
                <w:rFonts w:cs="Arial"/>
              </w:rPr>
            </w:pPr>
            <w:proofErr w:type="spellStart"/>
            <w:r w:rsidRPr="00FB09EC">
              <w:t>Most</w:t>
            </w:r>
            <w:proofErr w:type="spellEnd"/>
            <w:r w:rsidRPr="00FB09EC">
              <w:t xml:space="preserve"> (CZ)</w:t>
            </w:r>
          </w:p>
        </w:tc>
      </w:tr>
      <w:tr w:rsidR="00DB068C" w:rsidRPr="00FB09EC" w14:paraId="27D4BF72" w14:textId="77777777" w:rsidTr="004170F5">
        <w:trPr>
          <w:trHeight w:val="88"/>
        </w:trPr>
        <w:tc>
          <w:tcPr>
            <w:tcW w:w="4020" w:type="dxa"/>
            <w:tcMar>
              <w:top w:w="15" w:type="dxa"/>
              <w:left w:w="15" w:type="dxa"/>
              <w:bottom w:w="0" w:type="dxa"/>
              <w:right w:w="15" w:type="dxa"/>
            </w:tcMar>
            <w:vAlign w:val="center"/>
            <w:hideMark/>
          </w:tcPr>
          <w:p w14:paraId="729A2512" w14:textId="77777777" w:rsidR="00DB068C" w:rsidRPr="00FB09EC" w:rsidRDefault="00DB068C" w:rsidP="004170F5">
            <w:pPr>
              <w:rPr>
                <w:rFonts w:cs="Arial"/>
              </w:rPr>
            </w:pPr>
            <w:r w:rsidRPr="00FB09EC">
              <w:t>09 – 11 settembre 2022</w:t>
            </w:r>
          </w:p>
        </w:tc>
        <w:tc>
          <w:tcPr>
            <w:tcW w:w="4769" w:type="dxa"/>
            <w:gridSpan w:val="2"/>
            <w:tcMar>
              <w:top w:w="15" w:type="dxa"/>
              <w:left w:w="15" w:type="dxa"/>
              <w:bottom w:w="0" w:type="dxa"/>
              <w:right w:w="15" w:type="dxa"/>
            </w:tcMar>
            <w:vAlign w:val="center"/>
            <w:hideMark/>
          </w:tcPr>
          <w:p w14:paraId="1E8D2518" w14:textId="77777777" w:rsidR="00DB068C" w:rsidRPr="00FB09EC" w:rsidRDefault="00DB068C" w:rsidP="004170F5">
            <w:pPr>
              <w:rPr>
                <w:rFonts w:cs="Arial"/>
              </w:rPr>
            </w:pPr>
            <w:r w:rsidRPr="00FB09EC">
              <w:t>Zolder (BE)</w:t>
            </w:r>
          </w:p>
        </w:tc>
      </w:tr>
      <w:tr w:rsidR="00DB068C" w:rsidRPr="00FB09EC" w14:paraId="7C4B63A8" w14:textId="77777777" w:rsidTr="004170F5">
        <w:trPr>
          <w:trHeight w:val="88"/>
        </w:trPr>
        <w:tc>
          <w:tcPr>
            <w:tcW w:w="4020" w:type="dxa"/>
            <w:tcMar>
              <w:top w:w="15" w:type="dxa"/>
              <w:left w:w="15" w:type="dxa"/>
              <w:bottom w:w="0" w:type="dxa"/>
              <w:right w:w="15" w:type="dxa"/>
            </w:tcMar>
            <w:vAlign w:val="center"/>
            <w:hideMark/>
          </w:tcPr>
          <w:p w14:paraId="27C134F5" w14:textId="77777777" w:rsidR="00DB068C" w:rsidRPr="00FB09EC" w:rsidRDefault="00DB068C" w:rsidP="004170F5">
            <w:pPr>
              <w:rPr>
                <w:rFonts w:cs="Arial"/>
              </w:rPr>
            </w:pPr>
            <w:r w:rsidRPr="00FB09EC">
              <w:t>23 – 25 settembre 2022</w:t>
            </w:r>
          </w:p>
        </w:tc>
        <w:tc>
          <w:tcPr>
            <w:tcW w:w="4769" w:type="dxa"/>
            <w:gridSpan w:val="2"/>
            <w:tcMar>
              <w:top w:w="15" w:type="dxa"/>
              <w:left w:w="15" w:type="dxa"/>
              <w:bottom w:w="0" w:type="dxa"/>
              <w:right w:w="15" w:type="dxa"/>
            </w:tcMar>
            <w:vAlign w:val="center"/>
            <w:hideMark/>
          </w:tcPr>
          <w:p w14:paraId="3A196BDA" w14:textId="77777777" w:rsidR="00DB068C" w:rsidRPr="00FB09EC" w:rsidRDefault="00DB068C" w:rsidP="004170F5">
            <w:pPr>
              <w:rPr>
                <w:rFonts w:cs="Arial"/>
              </w:rPr>
            </w:pPr>
            <w:r w:rsidRPr="00FB09EC">
              <w:t>Le Mans (FR)</w:t>
            </w:r>
          </w:p>
        </w:tc>
      </w:tr>
      <w:tr w:rsidR="00DB068C" w:rsidRPr="00FB09EC" w14:paraId="78BD86B4" w14:textId="77777777" w:rsidTr="004170F5">
        <w:trPr>
          <w:gridAfter w:val="1"/>
          <w:wAfter w:w="2144" w:type="dxa"/>
          <w:trHeight w:val="88"/>
        </w:trPr>
        <w:tc>
          <w:tcPr>
            <w:tcW w:w="4020" w:type="dxa"/>
            <w:tcMar>
              <w:top w:w="15" w:type="dxa"/>
              <w:left w:w="15" w:type="dxa"/>
              <w:bottom w:w="0" w:type="dxa"/>
              <w:right w:w="15" w:type="dxa"/>
            </w:tcMar>
            <w:vAlign w:val="center"/>
            <w:hideMark/>
          </w:tcPr>
          <w:p w14:paraId="733B1F96" w14:textId="77777777" w:rsidR="00DB068C" w:rsidRPr="00FB09EC" w:rsidRDefault="00DB068C" w:rsidP="00CB65DD">
            <w:pPr>
              <w:spacing w:after="240"/>
              <w:rPr>
                <w:rFonts w:cs="Arial"/>
              </w:rPr>
            </w:pPr>
            <w:r w:rsidRPr="00FB09EC">
              <w:t>01 – 02 ottobre 2022</w:t>
            </w:r>
          </w:p>
        </w:tc>
        <w:tc>
          <w:tcPr>
            <w:tcW w:w="2625" w:type="dxa"/>
            <w:tcMar>
              <w:top w:w="15" w:type="dxa"/>
              <w:left w:w="15" w:type="dxa"/>
              <w:bottom w:w="0" w:type="dxa"/>
              <w:right w:w="15" w:type="dxa"/>
            </w:tcMar>
            <w:vAlign w:val="center"/>
            <w:hideMark/>
          </w:tcPr>
          <w:p w14:paraId="3E37AB90" w14:textId="77777777" w:rsidR="00DB068C" w:rsidRPr="00FB09EC" w:rsidRDefault="00DB068C" w:rsidP="00CB65DD">
            <w:pPr>
              <w:spacing w:after="240"/>
              <w:rPr>
                <w:rFonts w:cs="Arial"/>
              </w:rPr>
            </w:pPr>
            <w:r w:rsidRPr="00FB09EC">
              <w:t>Jarama (ES)</w:t>
            </w:r>
          </w:p>
        </w:tc>
      </w:tr>
    </w:tbl>
    <w:p w14:paraId="1B4F98E7" w14:textId="77777777" w:rsidR="00DB068C" w:rsidRPr="00FB09EC" w:rsidRDefault="00DB068C" w:rsidP="00DB068C">
      <w:pPr>
        <w:spacing w:line="360" w:lineRule="auto"/>
        <w:jc w:val="both"/>
        <w:rPr>
          <w:rFonts w:cs="Arial"/>
        </w:rPr>
      </w:pPr>
      <w:r w:rsidRPr="00FB09EC">
        <w:t xml:space="preserve">Le gare della stagione potranno essere seguite anche quest’anno tramite diversi canali sui social media. </w:t>
      </w:r>
    </w:p>
    <w:p w14:paraId="7B02C802" w14:textId="34BFDDDA" w:rsidR="00DB068C" w:rsidRPr="004421D1" w:rsidRDefault="00DB068C">
      <w:pPr>
        <w:rPr>
          <w:rFonts w:cs="Arial"/>
          <w:b/>
          <w:bCs/>
        </w:rPr>
      </w:pPr>
    </w:p>
    <w:p w14:paraId="3FAEC80A" w14:textId="1148C3E9" w:rsidR="00DB068C" w:rsidRPr="00FB09EC" w:rsidRDefault="00E736B8" w:rsidP="00CB65DD">
      <w:pPr>
        <w:spacing w:after="240"/>
        <w:rPr>
          <w:rFonts w:cs="Arial"/>
        </w:rPr>
      </w:pPr>
      <w:r w:rsidRPr="00FB09EC">
        <w:t>Le gare dell’</w:t>
      </w:r>
      <w:r w:rsidRPr="00FB09EC">
        <w:rPr>
          <w:b/>
        </w:rPr>
        <w:t xml:space="preserve">ADAC Opel-e Rally </w:t>
      </w:r>
      <w:r w:rsidRPr="00FB09EC">
        <w:t>si terranno nei seguenti fine-settimana:</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5098"/>
      </w:tblGrid>
      <w:tr w:rsidR="0068117D" w:rsidRPr="00FB09EC" w14:paraId="6879F316" w14:textId="77777777" w:rsidTr="00CB65DD">
        <w:tc>
          <w:tcPr>
            <w:tcW w:w="3964" w:type="dxa"/>
          </w:tcPr>
          <w:p w14:paraId="0AC5635B" w14:textId="44EBBD63" w:rsidR="0068117D" w:rsidRPr="00FB09EC" w:rsidRDefault="0068117D" w:rsidP="00CB65DD">
            <w:pPr>
              <w:ind w:left="-113" w:right="-255"/>
              <w:rPr>
                <w:rFonts w:cs="Arial"/>
              </w:rPr>
            </w:pPr>
            <w:r w:rsidRPr="00FB09EC">
              <w:t>06 – 07 maggio 2022</w:t>
            </w:r>
          </w:p>
        </w:tc>
        <w:tc>
          <w:tcPr>
            <w:tcW w:w="5098" w:type="dxa"/>
          </w:tcPr>
          <w:p w14:paraId="51814D29" w14:textId="50766B42" w:rsidR="0068117D" w:rsidRPr="00FB09EC" w:rsidRDefault="0068117D" w:rsidP="004C13B6">
            <w:pPr>
              <w:rPr>
                <w:rFonts w:cs="Arial"/>
              </w:rPr>
            </w:pPr>
            <w:proofErr w:type="spellStart"/>
            <w:r w:rsidRPr="00FB09EC">
              <w:t>Sulingen</w:t>
            </w:r>
            <w:proofErr w:type="spellEnd"/>
            <w:r w:rsidRPr="00FB09EC">
              <w:t xml:space="preserve"> (DE)</w:t>
            </w:r>
          </w:p>
        </w:tc>
      </w:tr>
      <w:tr w:rsidR="0068117D" w:rsidRPr="00FB09EC" w14:paraId="5D9285B3" w14:textId="77777777" w:rsidTr="00CB65DD">
        <w:tc>
          <w:tcPr>
            <w:tcW w:w="3964" w:type="dxa"/>
          </w:tcPr>
          <w:p w14:paraId="296F80FD" w14:textId="256D9173" w:rsidR="0068117D" w:rsidRPr="00FB09EC" w:rsidRDefault="0068117D" w:rsidP="00CB65DD">
            <w:pPr>
              <w:ind w:left="-113"/>
              <w:rPr>
                <w:rFonts w:cs="Arial"/>
              </w:rPr>
            </w:pPr>
            <w:r w:rsidRPr="00FB09EC">
              <w:t>20 – 21 maggio 2022</w:t>
            </w:r>
          </w:p>
        </w:tc>
        <w:tc>
          <w:tcPr>
            <w:tcW w:w="5098" w:type="dxa"/>
          </w:tcPr>
          <w:p w14:paraId="35B43643" w14:textId="31C710B1" w:rsidR="0068117D" w:rsidRPr="00FB09EC" w:rsidRDefault="0068117D" w:rsidP="004C13B6">
            <w:pPr>
              <w:rPr>
                <w:rFonts w:cs="Arial"/>
              </w:rPr>
            </w:pPr>
            <w:r w:rsidRPr="00FB09EC">
              <w:t>Eindhoven (NL)</w:t>
            </w:r>
          </w:p>
        </w:tc>
      </w:tr>
      <w:tr w:rsidR="0068117D" w:rsidRPr="00FB09EC" w14:paraId="2EAA7008" w14:textId="77777777" w:rsidTr="00CB65DD">
        <w:tc>
          <w:tcPr>
            <w:tcW w:w="3964" w:type="dxa"/>
          </w:tcPr>
          <w:p w14:paraId="59200A4E" w14:textId="604CEFB3" w:rsidR="0068117D" w:rsidRPr="00FB09EC" w:rsidRDefault="0068117D" w:rsidP="00CB65DD">
            <w:pPr>
              <w:ind w:left="-113"/>
              <w:rPr>
                <w:rFonts w:cs="Arial"/>
              </w:rPr>
            </w:pPr>
            <w:r w:rsidRPr="00FB09EC">
              <w:t>10 – 11 giugno 2022</w:t>
            </w:r>
          </w:p>
        </w:tc>
        <w:tc>
          <w:tcPr>
            <w:tcW w:w="5098" w:type="dxa"/>
          </w:tcPr>
          <w:p w14:paraId="3D3829DA" w14:textId="7551A40C" w:rsidR="0068117D" w:rsidRPr="00FB09EC" w:rsidRDefault="0068117D" w:rsidP="004C13B6">
            <w:pPr>
              <w:rPr>
                <w:rFonts w:cs="Arial"/>
              </w:rPr>
            </w:pPr>
            <w:proofErr w:type="spellStart"/>
            <w:r w:rsidRPr="00FB09EC">
              <w:t>Lübbecke</w:t>
            </w:r>
            <w:proofErr w:type="spellEnd"/>
            <w:r w:rsidRPr="00FB09EC">
              <w:t xml:space="preserve"> (DE)</w:t>
            </w:r>
          </w:p>
        </w:tc>
      </w:tr>
      <w:tr w:rsidR="0068117D" w:rsidRPr="00FB09EC" w14:paraId="3B9C65FF" w14:textId="77777777" w:rsidTr="00CB65DD">
        <w:tc>
          <w:tcPr>
            <w:tcW w:w="3964" w:type="dxa"/>
          </w:tcPr>
          <w:p w14:paraId="5B98A298" w14:textId="1A838513" w:rsidR="0068117D" w:rsidRPr="00FB09EC" w:rsidRDefault="0068117D" w:rsidP="00CB65DD">
            <w:pPr>
              <w:ind w:left="-113"/>
              <w:rPr>
                <w:rFonts w:cs="Arial"/>
              </w:rPr>
            </w:pPr>
            <w:r w:rsidRPr="00FB09EC">
              <w:t>14 – 16 luglio 2022</w:t>
            </w:r>
          </w:p>
        </w:tc>
        <w:tc>
          <w:tcPr>
            <w:tcW w:w="5098" w:type="dxa"/>
          </w:tcPr>
          <w:p w14:paraId="09A28A32" w14:textId="70FA18F5" w:rsidR="0068117D" w:rsidRPr="00FB09EC" w:rsidRDefault="0068117D" w:rsidP="004C13B6">
            <w:pPr>
              <w:rPr>
                <w:rFonts w:cs="Arial"/>
              </w:rPr>
            </w:pPr>
            <w:proofErr w:type="spellStart"/>
            <w:r w:rsidRPr="00FB09EC">
              <w:t>Weiz</w:t>
            </w:r>
            <w:proofErr w:type="spellEnd"/>
            <w:r w:rsidRPr="00FB09EC">
              <w:t xml:space="preserve"> (AT)</w:t>
            </w:r>
          </w:p>
        </w:tc>
      </w:tr>
      <w:tr w:rsidR="0068117D" w:rsidRPr="00FB09EC" w14:paraId="69C7BFA1" w14:textId="77777777" w:rsidTr="00CB65DD">
        <w:tc>
          <w:tcPr>
            <w:tcW w:w="3964" w:type="dxa"/>
          </w:tcPr>
          <w:p w14:paraId="7A01CC90" w14:textId="6761D3DB" w:rsidR="0068117D" w:rsidRPr="00FB09EC" w:rsidRDefault="0068117D" w:rsidP="00CB65DD">
            <w:pPr>
              <w:ind w:left="-113"/>
              <w:rPr>
                <w:rFonts w:cs="Arial"/>
              </w:rPr>
            </w:pPr>
            <w:r w:rsidRPr="00FB09EC">
              <w:t>19 – 20 agosto 2022</w:t>
            </w:r>
          </w:p>
        </w:tc>
        <w:tc>
          <w:tcPr>
            <w:tcW w:w="5098" w:type="dxa"/>
          </w:tcPr>
          <w:p w14:paraId="3211A3DA" w14:textId="5925020C" w:rsidR="0068117D" w:rsidRPr="00FB09EC" w:rsidRDefault="0068117D" w:rsidP="004C13B6">
            <w:pPr>
              <w:rPr>
                <w:rFonts w:cs="Arial"/>
              </w:rPr>
            </w:pPr>
            <w:r w:rsidRPr="00FB09EC">
              <w:t>St. Wendel (DE)</w:t>
            </w:r>
          </w:p>
        </w:tc>
      </w:tr>
      <w:tr w:rsidR="0068117D" w:rsidRPr="00FB09EC" w14:paraId="77B4F981" w14:textId="77777777" w:rsidTr="00CB65DD">
        <w:tc>
          <w:tcPr>
            <w:tcW w:w="3964" w:type="dxa"/>
          </w:tcPr>
          <w:p w14:paraId="2F0F70BC" w14:textId="1573F02B" w:rsidR="0068117D" w:rsidRPr="00FB09EC" w:rsidRDefault="0068117D" w:rsidP="00CB65DD">
            <w:pPr>
              <w:ind w:left="-113"/>
              <w:rPr>
                <w:rFonts w:cs="Arial"/>
              </w:rPr>
            </w:pPr>
            <w:r w:rsidRPr="00FB09EC">
              <w:t>08 – 10 settembre 2022</w:t>
            </w:r>
          </w:p>
        </w:tc>
        <w:tc>
          <w:tcPr>
            <w:tcW w:w="5098" w:type="dxa"/>
          </w:tcPr>
          <w:p w14:paraId="7E64AFB0" w14:textId="35237684" w:rsidR="0068117D" w:rsidRPr="00FB09EC" w:rsidRDefault="0068117D" w:rsidP="004C13B6">
            <w:pPr>
              <w:rPr>
                <w:rFonts w:cs="Arial"/>
              </w:rPr>
            </w:pPr>
            <w:proofErr w:type="spellStart"/>
            <w:r w:rsidRPr="00FB09EC">
              <w:t>Morzine</w:t>
            </w:r>
            <w:proofErr w:type="spellEnd"/>
            <w:r w:rsidRPr="00FB09EC">
              <w:t xml:space="preserve"> (FR)</w:t>
            </w:r>
          </w:p>
        </w:tc>
      </w:tr>
      <w:tr w:rsidR="0068117D" w:rsidRPr="00FB09EC" w14:paraId="39AF9C7C" w14:textId="77777777" w:rsidTr="00CB65DD">
        <w:tc>
          <w:tcPr>
            <w:tcW w:w="3964" w:type="dxa"/>
          </w:tcPr>
          <w:p w14:paraId="74D4D2C1" w14:textId="483357D5" w:rsidR="0068117D" w:rsidRPr="00FB09EC" w:rsidRDefault="0068117D" w:rsidP="00CB65DD">
            <w:pPr>
              <w:spacing w:after="240"/>
              <w:ind w:left="-113"/>
              <w:rPr>
                <w:rFonts w:cs="Arial"/>
              </w:rPr>
            </w:pPr>
            <w:r w:rsidRPr="00FB09EC">
              <w:t xml:space="preserve">14 – 15 ottobre 2022 </w:t>
            </w:r>
          </w:p>
        </w:tc>
        <w:tc>
          <w:tcPr>
            <w:tcW w:w="5098" w:type="dxa"/>
          </w:tcPr>
          <w:p w14:paraId="23A630EC" w14:textId="7ACA5FB2" w:rsidR="0068117D" w:rsidRPr="00FB09EC" w:rsidRDefault="0068117D" w:rsidP="004C13B6">
            <w:pPr>
              <w:rPr>
                <w:rFonts w:cs="Arial"/>
              </w:rPr>
            </w:pPr>
            <w:proofErr w:type="spellStart"/>
            <w:r w:rsidRPr="00FB09EC">
              <w:t>Freyung</w:t>
            </w:r>
            <w:proofErr w:type="spellEnd"/>
            <w:r w:rsidRPr="00FB09EC">
              <w:t xml:space="preserve"> (DE)</w:t>
            </w:r>
          </w:p>
        </w:tc>
      </w:tr>
    </w:tbl>
    <w:p w14:paraId="177EA15C" w14:textId="38531975" w:rsidR="009F574A" w:rsidRPr="00FB09EC" w:rsidRDefault="00E736B8">
      <w:pPr>
        <w:rPr>
          <w:b/>
          <w:bCs/>
          <w:szCs w:val="23"/>
        </w:rPr>
      </w:pPr>
      <w:r w:rsidRPr="00FB09EC">
        <w:lastRenderedPageBreak/>
        <w:t xml:space="preserve">Le gare della stagione potranno essere seguite anche quest’anno tramite diversi canali sui social media. </w:t>
      </w:r>
      <w:r w:rsidRPr="00FB09EC">
        <w:br w:type="page"/>
      </w:r>
    </w:p>
    <w:p w14:paraId="1021332F" w14:textId="5E350CF9" w:rsidR="004421D1" w:rsidRPr="00FA3116" w:rsidRDefault="004421D1" w:rsidP="000D3647">
      <w:pPr>
        <w:spacing w:line="360" w:lineRule="auto"/>
        <w:rPr>
          <w:rFonts w:cs="Arial"/>
          <w:sz w:val="20"/>
          <w:szCs w:val="20"/>
        </w:rPr>
      </w:pPr>
      <w:bookmarkStart w:id="0" w:name="_Hlk100654651"/>
      <w:r w:rsidRPr="00FA3116">
        <w:rPr>
          <w:b/>
          <w:sz w:val="20"/>
        </w:rPr>
        <w:lastRenderedPageBreak/>
        <w:t xml:space="preserve">Contatto: </w:t>
      </w:r>
      <w:r w:rsidRPr="00FA3116">
        <w:rPr>
          <w:b/>
          <w:sz w:val="20"/>
        </w:rPr>
        <w:br/>
      </w:r>
      <w:r w:rsidRPr="00FA3116">
        <w:rPr>
          <w:sz w:val="20"/>
        </w:rPr>
        <w:t>1.</w:t>
      </w:r>
      <w:r w:rsidRPr="00FA3116">
        <w:rPr>
          <w:sz w:val="20"/>
        </w:rPr>
        <w:tab/>
        <w:t xml:space="preserve">Klenk &amp; </w:t>
      </w:r>
      <w:proofErr w:type="spellStart"/>
      <w:r w:rsidRPr="00FA3116">
        <w:rPr>
          <w:sz w:val="20"/>
        </w:rPr>
        <w:t>Hoursch</w:t>
      </w:r>
      <w:proofErr w:type="spellEnd"/>
      <w:r w:rsidRPr="00FA3116">
        <w:rPr>
          <w:sz w:val="20"/>
        </w:rPr>
        <w:t xml:space="preserve"> AG, Frederic Barchfeld, tel.: +49 40 3020881 15, email: </w:t>
      </w:r>
      <w:hyperlink r:id="rId9" w:history="1">
        <w:r w:rsidRPr="00FA3116">
          <w:rPr>
            <w:rStyle w:val="Hyperlink"/>
            <w:sz w:val="20"/>
          </w:rPr>
          <w:t>meyle@klenkhoursch.de</w:t>
        </w:r>
      </w:hyperlink>
      <w:r w:rsidRPr="00FA3116">
        <w:rPr>
          <w:sz w:val="20"/>
        </w:rPr>
        <w:br/>
      </w:r>
      <w:bookmarkStart w:id="1" w:name="_Hlk95924416"/>
      <w:r w:rsidRPr="00FA3116">
        <w:rPr>
          <w:sz w:val="20"/>
        </w:rPr>
        <w:t xml:space="preserve">2. </w:t>
      </w:r>
      <w:r w:rsidRPr="00FA3116">
        <w:rPr>
          <w:sz w:val="20"/>
        </w:rPr>
        <w:tab/>
        <w:t xml:space="preserve">MEYLE AG, Benita Beissel, Tel.: +49 40 67506 7418, E-Mail: </w:t>
      </w:r>
      <w:hyperlink r:id="rId10" w:history="1">
        <w:r w:rsidRPr="00FA3116">
          <w:rPr>
            <w:rStyle w:val="Hyperlink"/>
            <w:sz w:val="20"/>
          </w:rPr>
          <w:t>press@meyle.com</w:t>
        </w:r>
      </w:hyperlink>
    </w:p>
    <w:bookmarkEnd w:id="0"/>
    <w:bookmarkEnd w:id="1"/>
    <w:p w14:paraId="6E136C5F" w14:textId="77777777" w:rsidR="00AF1C24" w:rsidRPr="00FA3116" w:rsidRDefault="00AF1C24" w:rsidP="00AF1C24">
      <w:pPr>
        <w:spacing w:line="360" w:lineRule="auto"/>
        <w:jc w:val="both"/>
        <w:rPr>
          <w:rFonts w:cs="Arial"/>
          <w:b/>
          <w:sz w:val="20"/>
          <w:szCs w:val="22"/>
        </w:rPr>
      </w:pPr>
    </w:p>
    <w:p w14:paraId="7A316920" w14:textId="77777777" w:rsidR="00AF1C24" w:rsidRPr="00FB09EC" w:rsidRDefault="00AF1C24" w:rsidP="00AF1C24">
      <w:pPr>
        <w:spacing w:line="360" w:lineRule="auto"/>
        <w:jc w:val="both"/>
        <w:rPr>
          <w:rFonts w:cs="Arial"/>
          <w:b/>
          <w:sz w:val="20"/>
          <w:szCs w:val="22"/>
        </w:rPr>
      </w:pPr>
      <w:r w:rsidRPr="00FB09EC">
        <w:rPr>
          <w:b/>
          <w:sz w:val="20"/>
        </w:rPr>
        <w:t xml:space="preserve">L’azienda </w:t>
      </w:r>
    </w:p>
    <w:p w14:paraId="0E3BC424" w14:textId="77777777" w:rsidR="00AF1C24" w:rsidRPr="00FA3116" w:rsidRDefault="00AF1C24" w:rsidP="00AF1C24">
      <w:pPr>
        <w:spacing w:after="240" w:line="360" w:lineRule="auto"/>
        <w:jc w:val="both"/>
        <w:rPr>
          <w:sz w:val="20"/>
        </w:rPr>
      </w:pPr>
      <w:r w:rsidRPr="00FA3116">
        <w:rPr>
          <w:sz w:val="20"/>
        </w:rPr>
        <w:t>Sotto l’egida del marchio MEYLE, MEYLE AG sviluppa, produce e distribuisce ricambi di alta qualità per auto, furgoni e veicoli commerciali per l’aftermarket indipendente. Con le tre linee di prodotti MEYLE-ORIGINAL, MEYLE-PD e MEYLE-HD, MEYLE offre soluzioni e componenti su misura per ogni situazione e ogni tipo di conducente – dai competenti dipendenti di officine ai piloti di rally ambiziosi, agli appassionati di auto classiche e a tutti i conducenti e piloti di tutto il mondo, che devono fare affidamento sulla propria auto. MEYLE offre ai propri clienti oltre 24.000 pezzi di ricambio affidabili e ad alte prestazioni, prodotti nei propri stabilimenti e da partner di produzione selezionati. La gamma di prodotti MEYLE è molto ampia.</w:t>
      </w:r>
      <w:r w:rsidRPr="00FA3116">
        <w:rPr>
          <w:sz w:val="20"/>
        </w:rPr>
        <w:tab/>
      </w:r>
    </w:p>
    <w:p w14:paraId="549AF120" w14:textId="25E04104" w:rsidR="000D3647" w:rsidRPr="00FA3116" w:rsidRDefault="000D3647" w:rsidP="00AF1C24">
      <w:pPr>
        <w:spacing w:after="240" w:line="360" w:lineRule="auto"/>
        <w:jc w:val="both"/>
        <w:rPr>
          <w:sz w:val="20"/>
        </w:rPr>
        <w:sectPr w:rsidR="000D3647" w:rsidRPr="00FA3116" w:rsidSect="00AF1C24">
          <w:headerReference w:type="default" r:id="rId11"/>
          <w:footerReference w:type="default" r:id="rId12"/>
          <w:type w:val="continuous"/>
          <w:pgSz w:w="11906" w:h="16838"/>
          <w:pgMar w:top="1417" w:right="1417" w:bottom="1134" w:left="1417" w:header="708" w:footer="708" w:gutter="0"/>
          <w:cols w:space="708"/>
          <w:docGrid w:linePitch="360"/>
        </w:sectPr>
      </w:pPr>
    </w:p>
    <w:p w14:paraId="5721463E" w14:textId="77777777" w:rsidR="00AF1C24" w:rsidRPr="00FB09EC" w:rsidRDefault="00AF1C24" w:rsidP="00AF1C24">
      <w:pPr>
        <w:spacing w:before="240" w:line="360" w:lineRule="auto"/>
        <w:jc w:val="both"/>
        <w:rPr>
          <w:sz w:val="20"/>
          <w:szCs w:val="22"/>
        </w:rPr>
      </w:pPr>
      <w:r w:rsidRPr="00FB09EC">
        <w:rPr>
          <w:sz w:val="20"/>
        </w:rPr>
        <w:t>In tutto il mondo, nella rete dell’impresa, sono occupati circa 1.000 collaboratori, quasi 500 dei quali ad Amburgo, il centro logistico e la sede principale della nostra impresa. Insieme ai nostri partner commerciali, alle officine e ai nostri meccanici di autoveicoli in 120 Paesi, operiamo per garantire che i clienti possano contare su componenti e soluzioni di qualità, aiutando così le officine a divenire il DRIVER’S BEST FRIEND.</w:t>
      </w:r>
    </w:p>
    <w:p w14:paraId="3290AEC3" w14:textId="77777777" w:rsidR="00AF1C24" w:rsidRPr="00FB09EC" w:rsidRDefault="00AF1C24" w:rsidP="00AF1C24">
      <w:pPr>
        <w:spacing w:line="360" w:lineRule="auto"/>
        <w:rPr>
          <w:noProof/>
          <w:sz w:val="20"/>
          <w:szCs w:val="20"/>
        </w:rPr>
      </w:pPr>
    </w:p>
    <w:p w14:paraId="0C07E575" w14:textId="773E61CD" w:rsidR="00AF1C24" w:rsidRPr="000D3647" w:rsidRDefault="00AF1C24" w:rsidP="000D3647">
      <w:pPr>
        <w:spacing w:line="360" w:lineRule="auto"/>
        <w:contextualSpacing/>
        <w:rPr>
          <w:b/>
          <w:noProof/>
          <w:sz w:val="20"/>
          <w:szCs w:val="20"/>
        </w:rPr>
      </w:pPr>
      <w:r w:rsidRPr="00FB09EC">
        <w:rPr>
          <w:b/>
          <w:sz w:val="20"/>
        </w:rPr>
        <w:t>MEYLE e la sostenibilità</w:t>
      </w:r>
      <w:r w:rsidR="000D3647" w:rsidRPr="000D3647">
        <w:rPr>
          <w:b/>
          <w:sz w:val="20"/>
        </w:rPr>
        <w:tab/>
      </w:r>
      <w:r w:rsidR="000D3647" w:rsidRPr="000D3647">
        <w:rPr>
          <w:b/>
          <w:sz w:val="20"/>
        </w:rPr>
        <w:br/>
      </w:r>
      <w:r w:rsidRPr="00FB09EC">
        <w:rPr>
          <w:color w:val="000000" w:themeColor="text1"/>
          <w:sz w:val="20"/>
        </w:rPr>
        <w:t>La sede centrale di Amburgo è certificata CO</w:t>
      </w:r>
      <w:r w:rsidRPr="00FB09EC">
        <w:rPr>
          <w:color w:val="000000" w:themeColor="text1"/>
          <w:sz w:val="20"/>
          <w:vertAlign w:val="subscript"/>
        </w:rPr>
        <w:t>2</w:t>
      </w:r>
      <w:r w:rsidRPr="00FB09EC">
        <w:rPr>
          <w:color w:val="000000" w:themeColor="text1"/>
          <w:sz w:val="20"/>
        </w:rPr>
        <w:t xml:space="preserve"> </w:t>
      </w:r>
      <w:proofErr w:type="spellStart"/>
      <w:r w:rsidRPr="00FB09EC">
        <w:rPr>
          <w:color w:val="000000" w:themeColor="text1"/>
          <w:sz w:val="20"/>
        </w:rPr>
        <w:t>neutral</w:t>
      </w:r>
      <w:proofErr w:type="spellEnd"/>
      <w:r w:rsidRPr="00FB09EC">
        <w:rPr>
          <w:color w:val="000000" w:themeColor="text1"/>
          <w:sz w:val="20"/>
        </w:rPr>
        <w:t xml:space="preserve"> dall’organizzazione no profit “Klima </w:t>
      </w:r>
      <w:proofErr w:type="spellStart"/>
      <w:r w:rsidRPr="00FB09EC">
        <w:rPr>
          <w:color w:val="000000" w:themeColor="text1"/>
          <w:sz w:val="20"/>
        </w:rPr>
        <w:t>ohne</w:t>
      </w:r>
      <w:proofErr w:type="spellEnd"/>
      <w:r w:rsidRPr="00FB09EC">
        <w:rPr>
          <w:color w:val="000000" w:themeColor="text1"/>
          <w:sz w:val="20"/>
        </w:rPr>
        <w:t xml:space="preserve"> </w:t>
      </w:r>
      <w:proofErr w:type="spellStart"/>
      <w:r w:rsidRPr="00FB09EC">
        <w:rPr>
          <w:color w:val="000000" w:themeColor="text1"/>
          <w:sz w:val="20"/>
        </w:rPr>
        <w:t>Grenzen</w:t>
      </w:r>
      <w:proofErr w:type="spellEnd"/>
      <w:r w:rsidRPr="00FB09EC">
        <w:rPr>
          <w:color w:val="000000" w:themeColor="text1"/>
          <w:sz w:val="20"/>
        </w:rPr>
        <w:t>” (</w:t>
      </w:r>
      <w:proofErr w:type="spellStart"/>
      <w:r w:rsidRPr="00FB09EC">
        <w:rPr>
          <w:color w:val="000000" w:themeColor="text1"/>
          <w:sz w:val="20"/>
        </w:rPr>
        <w:t>Climate</w:t>
      </w:r>
      <w:proofErr w:type="spellEnd"/>
      <w:r w:rsidRPr="00FB09EC">
        <w:rPr>
          <w:color w:val="000000" w:themeColor="text1"/>
          <w:sz w:val="20"/>
        </w:rPr>
        <w:t xml:space="preserve"> </w:t>
      </w:r>
      <w:proofErr w:type="spellStart"/>
      <w:r w:rsidRPr="00FB09EC">
        <w:rPr>
          <w:color w:val="000000" w:themeColor="text1"/>
          <w:sz w:val="20"/>
        </w:rPr>
        <w:t>without</w:t>
      </w:r>
      <w:proofErr w:type="spellEnd"/>
      <w:r w:rsidRPr="00FB09EC">
        <w:rPr>
          <w:color w:val="000000" w:themeColor="text1"/>
          <w:sz w:val="20"/>
        </w:rPr>
        <w:t xml:space="preserve"> Borders). Per compensare le emissioni abbiamo contribuito alla realizzazione di 2 progetti di protezione del clima in Africa, entrambi certificati da Gold Standard: stufe da cucina efficienti in Uganda ed elettricità da energia idroelettrica in Tanzania. </w:t>
      </w:r>
    </w:p>
    <w:p w14:paraId="25FA7C44" w14:textId="77777777" w:rsidR="00AF1C24" w:rsidRPr="00FB09EC" w:rsidRDefault="00AF1C24" w:rsidP="00AF1C24">
      <w:r w:rsidRPr="00FB09EC">
        <w:rPr>
          <w:noProof/>
          <w:sz w:val="20"/>
        </w:rPr>
        <w:drawing>
          <wp:anchor distT="0" distB="0" distL="114300" distR="114300" simplePos="0" relativeHeight="251659264" behindDoc="0" locked="0" layoutInCell="1" allowOverlap="1" wp14:anchorId="204ACEA5" wp14:editId="70E65DDD">
            <wp:simplePos x="0" y="0"/>
            <wp:positionH relativeFrom="margin">
              <wp:align>left</wp:align>
            </wp:positionH>
            <wp:positionV relativeFrom="paragraph">
              <wp:posOffset>123825</wp:posOffset>
            </wp:positionV>
            <wp:extent cx="1770279" cy="597724"/>
            <wp:effectExtent l="0" t="0" r="1905" b="0"/>
            <wp:wrapSquare wrapText="bothSides"/>
            <wp:docPr id="11" name="Grafik 1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descr="Ein Bild, das Text enthält.&#10;&#10;Automatisch generierte Beschreibu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70279" cy="597724"/>
                    </a:xfrm>
                    <a:prstGeom prst="rect">
                      <a:avLst/>
                    </a:prstGeom>
                    <a:noFill/>
                    <a:ln>
                      <a:noFill/>
                    </a:ln>
                  </pic:spPr>
                </pic:pic>
              </a:graphicData>
            </a:graphic>
          </wp:anchor>
        </w:drawing>
      </w:r>
    </w:p>
    <w:p w14:paraId="157E107A" w14:textId="77777777" w:rsidR="00AF1C24" w:rsidRPr="00FB09EC" w:rsidRDefault="00AF1C24" w:rsidP="00AF1C24">
      <w:pPr>
        <w:spacing w:line="360" w:lineRule="auto"/>
        <w:rPr>
          <w:b/>
          <w:bCs/>
          <w:noProof/>
          <w:sz w:val="20"/>
          <w:szCs w:val="20"/>
        </w:rPr>
      </w:pPr>
      <w:r w:rsidRPr="00FB09EC">
        <w:rPr>
          <w:b/>
          <w:sz w:val="20"/>
        </w:rPr>
        <w:t xml:space="preserve">Siete anche invitati a seguirci sui nostri canali sui social media: </w:t>
      </w:r>
      <w:hyperlink r:id="rId14" w:history="1">
        <w:r w:rsidRPr="00FB09EC">
          <w:rPr>
            <w:rStyle w:val="Hyperlink"/>
            <w:b/>
            <w:sz w:val="20"/>
          </w:rPr>
          <w:t>Instagram</w:t>
        </w:r>
      </w:hyperlink>
      <w:r w:rsidRPr="00FB09EC">
        <w:rPr>
          <w:b/>
          <w:sz w:val="20"/>
        </w:rPr>
        <w:t xml:space="preserve">, </w:t>
      </w:r>
      <w:hyperlink r:id="rId15" w:history="1">
        <w:r w:rsidRPr="00FB09EC">
          <w:rPr>
            <w:rStyle w:val="Hyperlink"/>
            <w:b/>
            <w:sz w:val="20"/>
          </w:rPr>
          <w:t>Facebook</w:t>
        </w:r>
      </w:hyperlink>
      <w:r w:rsidRPr="00FB09EC">
        <w:rPr>
          <w:b/>
          <w:sz w:val="20"/>
        </w:rPr>
        <w:t xml:space="preserve">, </w:t>
      </w:r>
      <w:hyperlink r:id="rId16" w:history="1">
        <w:r w:rsidRPr="00FB09EC">
          <w:rPr>
            <w:rStyle w:val="Hyperlink"/>
            <w:b/>
            <w:sz w:val="20"/>
          </w:rPr>
          <w:t>LinkedIn</w:t>
        </w:r>
      </w:hyperlink>
      <w:r w:rsidRPr="00FB09EC">
        <w:rPr>
          <w:b/>
          <w:sz w:val="20"/>
        </w:rPr>
        <w:t xml:space="preserve"> e </w:t>
      </w:r>
      <w:hyperlink r:id="rId17" w:history="1">
        <w:r w:rsidRPr="00FB09EC">
          <w:rPr>
            <w:rStyle w:val="Hyperlink"/>
            <w:b/>
            <w:sz w:val="20"/>
          </w:rPr>
          <w:t>YouTube</w:t>
        </w:r>
      </w:hyperlink>
      <w:r w:rsidRPr="00FB09EC">
        <w:rPr>
          <w:b/>
          <w:sz w:val="20"/>
        </w:rPr>
        <w:t xml:space="preserve">. </w:t>
      </w:r>
    </w:p>
    <w:p w14:paraId="19B4AC50" w14:textId="71030797" w:rsidR="00B773B8" w:rsidRDefault="00B773B8" w:rsidP="00BB2014">
      <w:pPr>
        <w:spacing w:line="360" w:lineRule="auto"/>
        <w:jc w:val="both"/>
        <w:rPr>
          <w:bCs/>
          <w:strike/>
          <w:szCs w:val="23"/>
        </w:rPr>
      </w:pPr>
    </w:p>
    <w:p w14:paraId="1C472744" w14:textId="242C5F24" w:rsidR="00657BC4" w:rsidRPr="00AF1C24" w:rsidRDefault="00657BC4" w:rsidP="00BB2014">
      <w:pPr>
        <w:spacing w:line="360" w:lineRule="auto"/>
        <w:jc w:val="both"/>
        <w:rPr>
          <w:bCs/>
          <w:strike/>
          <w:szCs w:val="23"/>
        </w:rPr>
      </w:pPr>
      <w:bookmarkStart w:id="2" w:name="_Hlk100654689"/>
      <w:r w:rsidRPr="00657BC4">
        <w:rPr>
          <w:rFonts w:cs="Arial"/>
          <w:sz w:val="20"/>
          <w:szCs w:val="20"/>
          <w:lang w:val="en-US"/>
        </w:rPr>
        <w:t xml:space="preserve">We process your address data on the basis of your declaration of consent ("Consent to the processing of your data"). If you would like us to stop using your e-mail address to send you information of this kind in the future, you can object to processing for this purpose. We will of course take this into account in future actions. You can send your objection informally in writing to MEYLE AG, </w:t>
      </w:r>
      <w:proofErr w:type="spellStart"/>
      <w:r w:rsidRPr="00657BC4">
        <w:rPr>
          <w:rFonts w:cs="Arial"/>
          <w:sz w:val="20"/>
          <w:szCs w:val="20"/>
          <w:lang w:val="en-US"/>
        </w:rPr>
        <w:t>Merkurring</w:t>
      </w:r>
      <w:proofErr w:type="spellEnd"/>
      <w:r w:rsidRPr="00657BC4">
        <w:rPr>
          <w:rFonts w:cs="Arial"/>
          <w:sz w:val="20"/>
          <w:szCs w:val="20"/>
          <w:lang w:val="en-US"/>
        </w:rPr>
        <w:t xml:space="preserve"> 111, 22143 Hamburg or to the following e-mail address: </w:t>
      </w:r>
      <w:hyperlink r:id="rId18" w:history="1">
        <w:r w:rsidRPr="00657BC4">
          <w:rPr>
            <w:rStyle w:val="Hyperlink"/>
            <w:rFonts w:cs="Arial"/>
            <w:sz w:val="20"/>
            <w:szCs w:val="20"/>
            <w:lang w:val="en-US"/>
          </w:rPr>
          <w:t>press@meyle.com</w:t>
        </w:r>
      </w:hyperlink>
      <w:r w:rsidRPr="00657BC4">
        <w:rPr>
          <w:rFonts w:cs="Arial"/>
          <w:sz w:val="20"/>
          <w:szCs w:val="20"/>
          <w:lang w:val="en-US"/>
        </w:rPr>
        <w:t xml:space="preserve">. However, as we plan our campaigns in advance, you may still receive information from us within a period of up to 21 days from the date of your objection. </w:t>
      </w:r>
      <w:proofErr w:type="spellStart"/>
      <w:r>
        <w:rPr>
          <w:rFonts w:cs="Arial"/>
          <w:sz w:val="20"/>
          <w:szCs w:val="20"/>
        </w:rPr>
        <w:t>We</w:t>
      </w:r>
      <w:proofErr w:type="spellEnd"/>
      <w:r>
        <w:rPr>
          <w:rFonts w:cs="Arial"/>
          <w:sz w:val="20"/>
          <w:szCs w:val="20"/>
        </w:rPr>
        <w:t xml:space="preserve"> </w:t>
      </w:r>
      <w:proofErr w:type="spellStart"/>
      <w:r>
        <w:rPr>
          <w:rFonts w:cs="Arial"/>
          <w:sz w:val="20"/>
          <w:szCs w:val="20"/>
        </w:rPr>
        <w:t>ask</w:t>
      </w:r>
      <w:proofErr w:type="spellEnd"/>
      <w:r>
        <w:rPr>
          <w:rFonts w:cs="Arial"/>
          <w:sz w:val="20"/>
          <w:szCs w:val="20"/>
        </w:rPr>
        <w:t xml:space="preserve"> for </w:t>
      </w:r>
      <w:proofErr w:type="spellStart"/>
      <w:r>
        <w:rPr>
          <w:rFonts w:cs="Arial"/>
          <w:sz w:val="20"/>
          <w:szCs w:val="20"/>
        </w:rPr>
        <w:t>your</w:t>
      </w:r>
      <w:proofErr w:type="spellEnd"/>
      <w:r>
        <w:rPr>
          <w:rFonts w:cs="Arial"/>
          <w:sz w:val="20"/>
          <w:szCs w:val="20"/>
        </w:rPr>
        <w:t xml:space="preserve"> </w:t>
      </w:r>
      <w:proofErr w:type="spellStart"/>
      <w:r>
        <w:rPr>
          <w:rFonts w:cs="Arial"/>
          <w:sz w:val="20"/>
          <w:szCs w:val="20"/>
        </w:rPr>
        <w:t>understanding</w:t>
      </w:r>
      <w:proofErr w:type="spellEnd"/>
      <w:r>
        <w:rPr>
          <w:rFonts w:cs="Arial"/>
          <w:sz w:val="20"/>
          <w:szCs w:val="20"/>
        </w:rPr>
        <w:t>.</w:t>
      </w:r>
      <w:bookmarkEnd w:id="2"/>
    </w:p>
    <w:sectPr w:rsidR="00657BC4" w:rsidRPr="00AF1C24" w:rsidSect="006D082C">
      <w:headerReference w:type="even" r:id="rId19"/>
      <w:headerReference w:type="default" r:id="rId20"/>
      <w:footerReference w:type="even" r:id="rId21"/>
      <w:footerReference w:type="default" r:id="rId22"/>
      <w:headerReference w:type="first" r:id="rId23"/>
      <w:footerReference w:type="first" r:id="rId24"/>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4AE11" w14:textId="77777777" w:rsidR="00B756A1" w:rsidRDefault="00B756A1" w:rsidP="00D621B4">
      <w:r>
        <w:separator/>
      </w:r>
    </w:p>
  </w:endnote>
  <w:endnote w:type="continuationSeparator" w:id="0">
    <w:p w14:paraId="5BA8E662" w14:textId="77777777" w:rsidR="00B756A1" w:rsidRDefault="00B756A1" w:rsidP="00D62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0C95A" w14:textId="77777777" w:rsidR="00AF1C24" w:rsidRDefault="00AF1C24">
    <w:pPr>
      <w:pStyle w:val="Fuzeile"/>
    </w:pPr>
    <w:r>
      <w:rPr>
        <w:noProof/>
      </w:rPr>
      <w:drawing>
        <wp:inline distT="0" distB="0" distL="0" distR="0" wp14:anchorId="3D5FC03E" wp14:editId="1D5EEE7B">
          <wp:extent cx="5760720" cy="618399"/>
          <wp:effectExtent l="19050" t="0" r="0" b="0"/>
          <wp:docPr id="2" name="Grafik 3" descr="Footer_Allgemeine-Einkaufsbedingu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pic:nvPicPr>
                <pic:blipFill>
                  <a:blip r:embed="rId1">
                    <a:extLst>
                      <a:ext uri="{28A0092B-C50C-407E-A947-70E740481C1C}">
                        <a14:useLocalDpi xmlns:a14="http://schemas.microsoft.com/office/drawing/2010/main" val="0"/>
                      </a:ext>
                    </a:extLst>
                  </a:blip>
                  <a:stretch>
                    <a:fillRect/>
                  </a:stretch>
                </pic:blipFill>
                <pic:spPr>
                  <a:xfrm>
                    <a:off x="0" y="0"/>
                    <a:ext cx="5760720" cy="618399"/>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45740" w14:textId="77777777" w:rsidR="0084030C" w:rsidRDefault="0084030C">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85888" w14:textId="77777777" w:rsidR="00D621B4" w:rsidRDefault="6B15BF6F">
    <w:pPr>
      <w:pStyle w:val="Fuzeile"/>
    </w:pPr>
    <w:r>
      <w:rPr>
        <w:noProof/>
      </w:rPr>
      <w:drawing>
        <wp:inline distT="0" distB="0" distL="0" distR="0" wp14:anchorId="423A602C" wp14:editId="54885A5D">
          <wp:extent cx="5760720" cy="618399"/>
          <wp:effectExtent l="19050" t="0" r="0" b="0"/>
          <wp:docPr id="15" name="Grafik 3" descr="Footer_Allgemeine-Einkaufsbedingu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pic:nvPicPr>
                <pic:blipFill>
                  <a:blip r:embed="rId1">
                    <a:extLst>
                      <a:ext uri="{28A0092B-C50C-407E-A947-70E740481C1C}">
                        <a14:useLocalDpi xmlns:a14="http://schemas.microsoft.com/office/drawing/2010/main" val="0"/>
                      </a:ext>
                    </a:extLst>
                  </a:blip>
                  <a:stretch>
                    <a:fillRect/>
                  </a:stretch>
                </pic:blipFill>
                <pic:spPr>
                  <a:xfrm>
                    <a:off x="0" y="0"/>
                    <a:ext cx="5760720" cy="618399"/>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E33D9" w14:textId="77777777" w:rsidR="0084030C" w:rsidRDefault="0084030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AEE1E" w14:textId="77777777" w:rsidR="00B756A1" w:rsidRDefault="00B756A1" w:rsidP="00D621B4">
      <w:r>
        <w:separator/>
      </w:r>
    </w:p>
  </w:footnote>
  <w:footnote w:type="continuationSeparator" w:id="0">
    <w:p w14:paraId="18C64E40" w14:textId="77777777" w:rsidR="00B756A1" w:rsidRDefault="00B756A1" w:rsidP="00D621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BE3E4" w14:textId="77777777" w:rsidR="00AF1C24" w:rsidRDefault="00AF1C24">
    <w:pPr>
      <w:pStyle w:val="Kopfzeile"/>
    </w:pPr>
    <w:r>
      <w:rPr>
        <w:noProof/>
      </w:rPr>
      <w:drawing>
        <wp:inline distT="0" distB="0" distL="0" distR="0" wp14:anchorId="2E782F5F" wp14:editId="53BE0F5A">
          <wp:extent cx="5760720" cy="1032510"/>
          <wp:effectExtent l="0" t="0" r="0" b="0"/>
          <wp:docPr id="7" name="Grafik 5" descr="Header_Pressemitteilung_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Pressemitteilung_it.jpg"/>
                  <pic:cNvPicPr/>
                </pic:nvPicPr>
                <pic:blipFill>
                  <a:blip r:embed="rId1"/>
                  <a:stretch>
                    <a:fillRect/>
                  </a:stretch>
                </pic:blipFill>
                <pic:spPr>
                  <a:xfrm>
                    <a:off x="0" y="0"/>
                    <a:ext cx="5760720" cy="1032510"/>
                  </a:xfrm>
                  <a:prstGeom prst="rect">
                    <a:avLst/>
                  </a:prstGeom>
                </pic:spPr>
              </pic:pic>
            </a:graphicData>
          </a:graphic>
        </wp:inline>
      </w:drawing>
    </w:r>
  </w:p>
  <w:p w14:paraId="6D527E5D" w14:textId="77777777" w:rsidR="00AF1C24" w:rsidRDefault="00AF1C2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D8096" w14:textId="77777777" w:rsidR="0084030C" w:rsidRDefault="0084030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DAE6F" w14:textId="77777777" w:rsidR="00D621B4" w:rsidRDefault="6B15BF6F">
    <w:pPr>
      <w:pStyle w:val="Kopfzeile"/>
    </w:pPr>
    <w:r>
      <w:rPr>
        <w:noProof/>
      </w:rPr>
      <w:drawing>
        <wp:inline distT="0" distB="0" distL="0" distR="0" wp14:anchorId="453E9429" wp14:editId="0CC6D086">
          <wp:extent cx="5760720" cy="1033145"/>
          <wp:effectExtent l="19050" t="0" r="0" b="0"/>
          <wp:docPr id="14" name="Grafik 0" descr="Header_Pressemitteilung_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pic:cNvPicPr/>
                </pic:nvPicPr>
                <pic:blipFill>
                  <a:blip r:embed="rId1">
                    <a:extLst>
                      <a:ext uri="{28A0092B-C50C-407E-A947-70E740481C1C}">
                        <a14:useLocalDpi xmlns:a14="http://schemas.microsoft.com/office/drawing/2010/main" val="0"/>
                      </a:ext>
                    </a:extLst>
                  </a:blip>
                  <a:stretch>
                    <a:fillRect/>
                  </a:stretch>
                </pic:blipFill>
                <pic:spPr>
                  <a:xfrm>
                    <a:off x="0" y="0"/>
                    <a:ext cx="5760720" cy="1033145"/>
                  </a:xfrm>
                  <a:prstGeom prst="rect">
                    <a:avLst/>
                  </a:prstGeom>
                </pic:spPr>
              </pic:pic>
            </a:graphicData>
          </a:graphic>
        </wp:inline>
      </w:drawing>
    </w:r>
  </w:p>
  <w:p w14:paraId="0369813D" w14:textId="77777777" w:rsidR="00767A02" w:rsidRDefault="00767A02">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2DF58" w14:textId="77777777" w:rsidR="0084030C" w:rsidRDefault="0084030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927C2"/>
    <w:multiLevelType w:val="hybridMultilevel"/>
    <w:tmpl w:val="02F618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0BA725B"/>
    <w:multiLevelType w:val="hybridMultilevel"/>
    <w:tmpl w:val="9EACC44A"/>
    <w:lvl w:ilvl="0" w:tplc="10362DA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35C382C"/>
    <w:multiLevelType w:val="hybridMultilevel"/>
    <w:tmpl w:val="DEB44CC2"/>
    <w:lvl w:ilvl="0" w:tplc="10362DA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C91648C"/>
    <w:multiLevelType w:val="hybridMultilevel"/>
    <w:tmpl w:val="11F076AC"/>
    <w:lvl w:ilvl="0" w:tplc="1462716E">
      <w:start w:val="1"/>
      <w:numFmt w:val="bullet"/>
      <w:lvlText w:val=""/>
      <w:lvlJc w:val="left"/>
      <w:pPr>
        <w:tabs>
          <w:tab w:val="num" w:pos="720"/>
        </w:tabs>
        <w:ind w:left="720" w:hanging="360"/>
      </w:pPr>
      <w:rPr>
        <w:rFonts w:ascii="Symbol" w:hAnsi="Symbol" w:hint="default"/>
        <w:sz w:val="20"/>
      </w:rPr>
    </w:lvl>
    <w:lvl w:ilvl="1" w:tplc="293C2B0A" w:tentative="1">
      <w:start w:val="1"/>
      <w:numFmt w:val="bullet"/>
      <w:lvlText w:val="o"/>
      <w:lvlJc w:val="left"/>
      <w:pPr>
        <w:tabs>
          <w:tab w:val="num" w:pos="1440"/>
        </w:tabs>
        <w:ind w:left="1440" w:hanging="360"/>
      </w:pPr>
      <w:rPr>
        <w:rFonts w:ascii="Courier New" w:hAnsi="Courier New" w:hint="default"/>
        <w:sz w:val="20"/>
      </w:rPr>
    </w:lvl>
    <w:lvl w:ilvl="2" w:tplc="7598DD40" w:tentative="1">
      <w:start w:val="1"/>
      <w:numFmt w:val="bullet"/>
      <w:lvlText w:val=""/>
      <w:lvlJc w:val="left"/>
      <w:pPr>
        <w:tabs>
          <w:tab w:val="num" w:pos="2160"/>
        </w:tabs>
        <w:ind w:left="2160" w:hanging="360"/>
      </w:pPr>
      <w:rPr>
        <w:rFonts w:ascii="Wingdings" w:hAnsi="Wingdings" w:hint="default"/>
        <w:sz w:val="20"/>
      </w:rPr>
    </w:lvl>
    <w:lvl w:ilvl="3" w:tplc="71B8182E" w:tentative="1">
      <w:start w:val="1"/>
      <w:numFmt w:val="bullet"/>
      <w:lvlText w:val=""/>
      <w:lvlJc w:val="left"/>
      <w:pPr>
        <w:tabs>
          <w:tab w:val="num" w:pos="2880"/>
        </w:tabs>
        <w:ind w:left="2880" w:hanging="360"/>
      </w:pPr>
      <w:rPr>
        <w:rFonts w:ascii="Wingdings" w:hAnsi="Wingdings" w:hint="default"/>
        <w:sz w:val="20"/>
      </w:rPr>
    </w:lvl>
    <w:lvl w:ilvl="4" w:tplc="0174FB04" w:tentative="1">
      <w:start w:val="1"/>
      <w:numFmt w:val="bullet"/>
      <w:lvlText w:val=""/>
      <w:lvlJc w:val="left"/>
      <w:pPr>
        <w:tabs>
          <w:tab w:val="num" w:pos="3600"/>
        </w:tabs>
        <w:ind w:left="3600" w:hanging="360"/>
      </w:pPr>
      <w:rPr>
        <w:rFonts w:ascii="Wingdings" w:hAnsi="Wingdings" w:hint="default"/>
        <w:sz w:val="20"/>
      </w:rPr>
    </w:lvl>
    <w:lvl w:ilvl="5" w:tplc="6B2CF2CE" w:tentative="1">
      <w:start w:val="1"/>
      <w:numFmt w:val="bullet"/>
      <w:lvlText w:val=""/>
      <w:lvlJc w:val="left"/>
      <w:pPr>
        <w:tabs>
          <w:tab w:val="num" w:pos="4320"/>
        </w:tabs>
        <w:ind w:left="4320" w:hanging="360"/>
      </w:pPr>
      <w:rPr>
        <w:rFonts w:ascii="Wingdings" w:hAnsi="Wingdings" w:hint="default"/>
        <w:sz w:val="20"/>
      </w:rPr>
    </w:lvl>
    <w:lvl w:ilvl="6" w:tplc="6E4CE236" w:tentative="1">
      <w:start w:val="1"/>
      <w:numFmt w:val="bullet"/>
      <w:lvlText w:val=""/>
      <w:lvlJc w:val="left"/>
      <w:pPr>
        <w:tabs>
          <w:tab w:val="num" w:pos="5040"/>
        </w:tabs>
        <w:ind w:left="5040" w:hanging="360"/>
      </w:pPr>
      <w:rPr>
        <w:rFonts w:ascii="Wingdings" w:hAnsi="Wingdings" w:hint="default"/>
        <w:sz w:val="20"/>
      </w:rPr>
    </w:lvl>
    <w:lvl w:ilvl="7" w:tplc="F16432E8" w:tentative="1">
      <w:start w:val="1"/>
      <w:numFmt w:val="bullet"/>
      <w:lvlText w:val=""/>
      <w:lvlJc w:val="left"/>
      <w:pPr>
        <w:tabs>
          <w:tab w:val="num" w:pos="5760"/>
        </w:tabs>
        <w:ind w:left="5760" w:hanging="360"/>
      </w:pPr>
      <w:rPr>
        <w:rFonts w:ascii="Wingdings" w:hAnsi="Wingdings" w:hint="default"/>
        <w:sz w:val="20"/>
      </w:rPr>
    </w:lvl>
    <w:lvl w:ilvl="8" w:tplc="5658CE72"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FC1A41"/>
    <w:multiLevelType w:val="hybridMultilevel"/>
    <w:tmpl w:val="B262F36C"/>
    <w:lvl w:ilvl="0" w:tplc="04070005">
      <w:start w:val="1"/>
      <w:numFmt w:val="bullet"/>
      <w:lvlText w:val=""/>
      <w:lvlJc w:val="left"/>
      <w:pPr>
        <w:ind w:left="72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5" w15:restartNumberingAfterBreak="0">
    <w:nsid w:val="3264675B"/>
    <w:multiLevelType w:val="hybridMultilevel"/>
    <w:tmpl w:val="AF96ADEA"/>
    <w:lvl w:ilvl="0" w:tplc="7206C8F8">
      <w:start w:val="1"/>
      <w:numFmt w:val="bullet"/>
      <w:lvlText w:val=""/>
      <w:lvlJc w:val="left"/>
      <w:pPr>
        <w:tabs>
          <w:tab w:val="num" w:pos="720"/>
        </w:tabs>
        <w:ind w:left="720" w:hanging="360"/>
      </w:pPr>
      <w:rPr>
        <w:rFonts w:ascii="Symbol" w:hAnsi="Symbol" w:hint="default"/>
        <w:sz w:val="20"/>
      </w:rPr>
    </w:lvl>
    <w:lvl w:ilvl="1" w:tplc="8BB8A2B4" w:tentative="1">
      <w:start w:val="1"/>
      <w:numFmt w:val="bullet"/>
      <w:lvlText w:val="o"/>
      <w:lvlJc w:val="left"/>
      <w:pPr>
        <w:tabs>
          <w:tab w:val="num" w:pos="1440"/>
        </w:tabs>
        <w:ind w:left="1440" w:hanging="360"/>
      </w:pPr>
      <w:rPr>
        <w:rFonts w:ascii="Courier New" w:hAnsi="Courier New" w:hint="default"/>
        <w:sz w:val="20"/>
      </w:rPr>
    </w:lvl>
    <w:lvl w:ilvl="2" w:tplc="64C8D30C" w:tentative="1">
      <w:start w:val="1"/>
      <w:numFmt w:val="bullet"/>
      <w:lvlText w:val=""/>
      <w:lvlJc w:val="left"/>
      <w:pPr>
        <w:tabs>
          <w:tab w:val="num" w:pos="2160"/>
        </w:tabs>
        <w:ind w:left="2160" w:hanging="360"/>
      </w:pPr>
      <w:rPr>
        <w:rFonts w:ascii="Wingdings" w:hAnsi="Wingdings" w:hint="default"/>
        <w:sz w:val="20"/>
      </w:rPr>
    </w:lvl>
    <w:lvl w:ilvl="3" w:tplc="FA1CC9B4" w:tentative="1">
      <w:start w:val="1"/>
      <w:numFmt w:val="bullet"/>
      <w:lvlText w:val=""/>
      <w:lvlJc w:val="left"/>
      <w:pPr>
        <w:tabs>
          <w:tab w:val="num" w:pos="2880"/>
        </w:tabs>
        <w:ind w:left="2880" w:hanging="360"/>
      </w:pPr>
      <w:rPr>
        <w:rFonts w:ascii="Wingdings" w:hAnsi="Wingdings" w:hint="default"/>
        <w:sz w:val="20"/>
      </w:rPr>
    </w:lvl>
    <w:lvl w:ilvl="4" w:tplc="8F868236" w:tentative="1">
      <w:start w:val="1"/>
      <w:numFmt w:val="bullet"/>
      <w:lvlText w:val=""/>
      <w:lvlJc w:val="left"/>
      <w:pPr>
        <w:tabs>
          <w:tab w:val="num" w:pos="3600"/>
        </w:tabs>
        <w:ind w:left="3600" w:hanging="360"/>
      </w:pPr>
      <w:rPr>
        <w:rFonts w:ascii="Wingdings" w:hAnsi="Wingdings" w:hint="default"/>
        <w:sz w:val="20"/>
      </w:rPr>
    </w:lvl>
    <w:lvl w:ilvl="5" w:tplc="C340E9D2" w:tentative="1">
      <w:start w:val="1"/>
      <w:numFmt w:val="bullet"/>
      <w:lvlText w:val=""/>
      <w:lvlJc w:val="left"/>
      <w:pPr>
        <w:tabs>
          <w:tab w:val="num" w:pos="4320"/>
        </w:tabs>
        <w:ind w:left="4320" w:hanging="360"/>
      </w:pPr>
      <w:rPr>
        <w:rFonts w:ascii="Wingdings" w:hAnsi="Wingdings" w:hint="default"/>
        <w:sz w:val="20"/>
      </w:rPr>
    </w:lvl>
    <w:lvl w:ilvl="6" w:tplc="D7020F1C" w:tentative="1">
      <w:start w:val="1"/>
      <w:numFmt w:val="bullet"/>
      <w:lvlText w:val=""/>
      <w:lvlJc w:val="left"/>
      <w:pPr>
        <w:tabs>
          <w:tab w:val="num" w:pos="5040"/>
        </w:tabs>
        <w:ind w:left="5040" w:hanging="360"/>
      </w:pPr>
      <w:rPr>
        <w:rFonts w:ascii="Wingdings" w:hAnsi="Wingdings" w:hint="default"/>
        <w:sz w:val="20"/>
      </w:rPr>
    </w:lvl>
    <w:lvl w:ilvl="7" w:tplc="12A47516" w:tentative="1">
      <w:start w:val="1"/>
      <w:numFmt w:val="bullet"/>
      <w:lvlText w:val=""/>
      <w:lvlJc w:val="left"/>
      <w:pPr>
        <w:tabs>
          <w:tab w:val="num" w:pos="5760"/>
        </w:tabs>
        <w:ind w:left="5760" w:hanging="360"/>
      </w:pPr>
      <w:rPr>
        <w:rFonts w:ascii="Wingdings" w:hAnsi="Wingdings" w:hint="default"/>
        <w:sz w:val="20"/>
      </w:rPr>
    </w:lvl>
    <w:lvl w:ilvl="8" w:tplc="61A466F4"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0F4495"/>
    <w:multiLevelType w:val="hybridMultilevel"/>
    <w:tmpl w:val="723A73BE"/>
    <w:lvl w:ilvl="0" w:tplc="3D7AC0FA">
      <w:start w:val="1"/>
      <w:numFmt w:val="bullet"/>
      <w:lvlText w:val=""/>
      <w:lvlJc w:val="left"/>
      <w:pPr>
        <w:tabs>
          <w:tab w:val="num" w:pos="720"/>
        </w:tabs>
        <w:ind w:left="720" w:hanging="360"/>
      </w:pPr>
      <w:rPr>
        <w:rFonts w:ascii="Symbol" w:hAnsi="Symbol" w:hint="default"/>
        <w:sz w:val="20"/>
      </w:rPr>
    </w:lvl>
    <w:lvl w:ilvl="1" w:tplc="EA380ACE">
      <w:start w:val="1"/>
      <w:numFmt w:val="bullet"/>
      <w:lvlText w:val=""/>
      <w:lvlJc w:val="left"/>
      <w:pPr>
        <w:tabs>
          <w:tab w:val="num" w:pos="1440"/>
        </w:tabs>
        <w:ind w:left="1440" w:hanging="360"/>
      </w:pPr>
      <w:rPr>
        <w:rFonts w:ascii="Symbol" w:hAnsi="Symbol" w:hint="default"/>
        <w:sz w:val="20"/>
      </w:rPr>
    </w:lvl>
    <w:lvl w:ilvl="2" w:tplc="BFF0E6AC">
      <w:start w:val="1"/>
      <w:numFmt w:val="bullet"/>
      <w:lvlText w:val=""/>
      <w:lvlJc w:val="left"/>
      <w:pPr>
        <w:tabs>
          <w:tab w:val="num" w:pos="2160"/>
        </w:tabs>
        <w:ind w:left="2160" w:hanging="360"/>
      </w:pPr>
      <w:rPr>
        <w:rFonts w:ascii="Symbol" w:hAnsi="Symbol" w:hint="default"/>
        <w:sz w:val="20"/>
      </w:rPr>
    </w:lvl>
    <w:lvl w:ilvl="3" w:tplc="F0129546">
      <w:start w:val="1"/>
      <w:numFmt w:val="bullet"/>
      <w:lvlText w:val=""/>
      <w:lvlJc w:val="left"/>
      <w:pPr>
        <w:tabs>
          <w:tab w:val="num" w:pos="2880"/>
        </w:tabs>
        <w:ind w:left="2880" w:hanging="360"/>
      </w:pPr>
      <w:rPr>
        <w:rFonts w:ascii="Symbol" w:hAnsi="Symbol" w:hint="default"/>
        <w:sz w:val="20"/>
      </w:rPr>
    </w:lvl>
    <w:lvl w:ilvl="4" w:tplc="18107D64">
      <w:start w:val="1"/>
      <w:numFmt w:val="bullet"/>
      <w:lvlText w:val=""/>
      <w:lvlJc w:val="left"/>
      <w:pPr>
        <w:tabs>
          <w:tab w:val="num" w:pos="3600"/>
        </w:tabs>
        <w:ind w:left="3600" w:hanging="360"/>
      </w:pPr>
      <w:rPr>
        <w:rFonts w:ascii="Symbol" w:hAnsi="Symbol" w:hint="default"/>
        <w:sz w:val="20"/>
      </w:rPr>
    </w:lvl>
    <w:lvl w:ilvl="5" w:tplc="E27C3806">
      <w:start w:val="1"/>
      <w:numFmt w:val="bullet"/>
      <w:lvlText w:val=""/>
      <w:lvlJc w:val="left"/>
      <w:pPr>
        <w:tabs>
          <w:tab w:val="num" w:pos="4320"/>
        </w:tabs>
        <w:ind w:left="4320" w:hanging="360"/>
      </w:pPr>
      <w:rPr>
        <w:rFonts w:ascii="Symbol" w:hAnsi="Symbol" w:hint="default"/>
        <w:sz w:val="20"/>
      </w:rPr>
    </w:lvl>
    <w:lvl w:ilvl="6" w:tplc="8CEA6278">
      <w:start w:val="1"/>
      <w:numFmt w:val="bullet"/>
      <w:lvlText w:val=""/>
      <w:lvlJc w:val="left"/>
      <w:pPr>
        <w:tabs>
          <w:tab w:val="num" w:pos="5040"/>
        </w:tabs>
        <w:ind w:left="5040" w:hanging="360"/>
      </w:pPr>
      <w:rPr>
        <w:rFonts w:ascii="Symbol" w:hAnsi="Symbol" w:hint="default"/>
        <w:sz w:val="20"/>
      </w:rPr>
    </w:lvl>
    <w:lvl w:ilvl="7" w:tplc="21F29B7E">
      <w:start w:val="1"/>
      <w:numFmt w:val="bullet"/>
      <w:lvlText w:val=""/>
      <w:lvlJc w:val="left"/>
      <w:pPr>
        <w:tabs>
          <w:tab w:val="num" w:pos="5760"/>
        </w:tabs>
        <w:ind w:left="5760" w:hanging="360"/>
      </w:pPr>
      <w:rPr>
        <w:rFonts w:ascii="Symbol" w:hAnsi="Symbol" w:hint="default"/>
        <w:sz w:val="20"/>
      </w:rPr>
    </w:lvl>
    <w:lvl w:ilvl="8" w:tplc="DE1458BA">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2F32C3F"/>
    <w:multiLevelType w:val="hybridMultilevel"/>
    <w:tmpl w:val="3064F1E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8" w15:restartNumberingAfterBreak="0">
    <w:nsid w:val="5C7C5D7D"/>
    <w:multiLevelType w:val="hybridMultilevel"/>
    <w:tmpl w:val="A306A5B2"/>
    <w:lvl w:ilvl="0" w:tplc="2F3204DC">
      <w:start w:val="1"/>
      <w:numFmt w:val="bullet"/>
      <w:lvlText w:val=""/>
      <w:lvlJc w:val="left"/>
      <w:pPr>
        <w:tabs>
          <w:tab w:val="num" w:pos="720"/>
        </w:tabs>
        <w:ind w:left="720" w:hanging="360"/>
      </w:pPr>
      <w:rPr>
        <w:rFonts w:ascii="Symbol" w:hAnsi="Symbol" w:hint="default"/>
        <w:sz w:val="20"/>
      </w:rPr>
    </w:lvl>
    <w:lvl w:ilvl="1" w:tplc="CF7A220E">
      <w:start w:val="1"/>
      <w:numFmt w:val="bullet"/>
      <w:lvlText w:val=""/>
      <w:lvlJc w:val="left"/>
      <w:pPr>
        <w:tabs>
          <w:tab w:val="num" w:pos="1440"/>
        </w:tabs>
        <w:ind w:left="1440" w:hanging="360"/>
      </w:pPr>
      <w:rPr>
        <w:rFonts w:ascii="Symbol" w:hAnsi="Symbol" w:hint="default"/>
        <w:sz w:val="20"/>
      </w:rPr>
    </w:lvl>
    <w:lvl w:ilvl="2" w:tplc="F500B958">
      <w:start w:val="1"/>
      <w:numFmt w:val="bullet"/>
      <w:lvlText w:val=""/>
      <w:lvlJc w:val="left"/>
      <w:pPr>
        <w:tabs>
          <w:tab w:val="num" w:pos="2160"/>
        </w:tabs>
        <w:ind w:left="2160" w:hanging="360"/>
      </w:pPr>
      <w:rPr>
        <w:rFonts w:ascii="Symbol" w:hAnsi="Symbol" w:hint="default"/>
        <w:sz w:val="20"/>
      </w:rPr>
    </w:lvl>
    <w:lvl w:ilvl="3" w:tplc="D48EF4E8">
      <w:start w:val="1"/>
      <w:numFmt w:val="bullet"/>
      <w:lvlText w:val=""/>
      <w:lvlJc w:val="left"/>
      <w:pPr>
        <w:tabs>
          <w:tab w:val="num" w:pos="2880"/>
        </w:tabs>
        <w:ind w:left="2880" w:hanging="360"/>
      </w:pPr>
      <w:rPr>
        <w:rFonts w:ascii="Symbol" w:hAnsi="Symbol" w:hint="default"/>
        <w:sz w:val="20"/>
      </w:rPr>
    </w:lvl>
    <w:lvl w:ilvl="4" w:tplc="2FF078A4">
      <w:start w:val="1"/>
      <w:numFmt w:val="bullet"/>
      <w:lvlText w:val=""/>
      <w:lvlJc w:val="left"/>
      <w:pPr>
        <w:tabs>
          <w:tab w:val="num" w:pos="3600"/>
        </w:tabs>
        <w:ind w:left="3600" w:hanging="360"/>
      </w:pPr>
      <w:rPr>
        <w:rFonts w:ascii="Symbol" w:hAnsi="Symbol" w:hint="default"/>
        <w:sz w:val="20"/>
      </w:rPr>
    </w:lvl>
    <w:lvl w:ilvl="5" w:tplc="A118C52E">
      <w:start w:val="1"/>
      <w:numFmt w:val="bullet"/>
      <w:lvlText w:val=""/>
      <w:lvlJc w:val="left"/>
      <w:pPr>
        <w:tabs>
          <w:tab w:val="num" w:pos="4320"/>
        </w:tabs>
        <w:ind w:left="4320" w:hanging="360"/>
      </w:pPr>
      <w:rPr>
        <w:rFonts w:ascii="Symbol" w:hAnsi="Symbol" w:hint="default"/>
        <w:sz w:val="20"/>
      </w:rPr>
    </w:lvl>
    <w:lvl w:ilvl="6" w:tplc="26D8AE0C">
      <w:start w:val="1"/>
      <w:numFmt w:val="bullet"/>
      <w:lvlText w:val=""/>
      <w:lvlJc w:val="left"/>
      <w:pPr>
        <w:tabs>
          <w:tab w:val="num" w:pos="5040"/>
        </w:tabs>
        <w:ind w:left="5040" w:hanging="360"/>
      </w:pPr>
      <w:rPr>
        <w:rFonts w:ascii="Symbol" w:hAnsi="Symbol" w:hint="default"/>
        <w:sz w:val="20"/>
      </w:rPr>
    </w:lvl>
    <w:lvl w:ilvl="7" w:tplc="9D648844">
      <w:start w:val="1"/>
      <w:numFmt w:val="bullet"/>
      <w:lvlText w:val=""/>
      <w:lvlJc w:val="left"/>
      <w:pPr>
        <w:tabs>
          <w:tab w:val="num" w:pos="5760"/>
        </w:tabs>
        <w:ind w:left="5760" w:hanging="360"/>
      </w:pPr>
      <w:rPr>
        <w:rFonts w:ascii="Symbol" w:hAnsi="Symbol" w:hint="default"/>
        <w:sz w:val="20"/>
      </w:rPr>
    </w:lvl>
    <w:lvl w:ilvl="8" w:tplc="1200CE7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34E02C2"/>
    <w:multiLevelType w:val="hybridMultilevel"/>
    <w:tmpl w:val="ACEA422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6D0C3201"/>
    <w:multiLevelType w:val="hybridMultilevel"/>
    <w:tmpl w:val="169246B6"/>
    <w:lvl w:ilvl="0" w:tplc="04070001">
      <w:start w:val="1"/>
      <w:numFmt w:val="bullet"/>
      <w:lvlText w:val=""/>
      <w:lvlJc w:val="left"/>
      <w:pPr>
        <w:ind w:left="720" w:hanging="360"/>
      </w:pPr>
      <w:rPr>
        <w:rFonts w:ascii="Symbol" w:hAnsi="Symbol" w:hint="default"/>
      </w:rPr>
    </w:lvl>
    <w:lvl w:ilvl="1" w:tplc="24088FF4">
      <w:numFmt w:val="bullet"/>
      <w:lvlText w:val="•"/>
      <w:lvlJc w:val="left"/>
      <w:pPr>
        <w:ind w:left="1785" w:hanging="705"/>
      </w:pPr>
      <w:rPr>
        <w:rFonts w:ascii="Arial" w:eastAsia="Times New Roman" w:hAnsi="Arial" w:cs="Arial" w:hint="default"/>
        <w:sz w:val="24"/>
        <w:szCs w:val="24"/>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FC51EA2"/>
    <w:multiLevelType w:val="hybridMultilevel"/>
    <w:tmpl w:val="D382AA2A"/>
    <w:lvl w:ilvl="0" w:tplc="BB845EE4">
      <w:start w:val="1"/>
      <w:numFmt w:val="bullet"/>
      <w:lvlText w:val=""/>
      <w:lvlJc w:val="left"/>
      <w:pPr>
        <w:ind w:left="720" w:hanging="360"/>
      </w:pPr>
      <w:rPr>
        <w:rFonts w:ascii="Symbol" w:hAnsi="Symbol" w:hint="default"/>
        <w:sz w:val="24"/>
        <w:szCs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3EC63E1"/>
    <w:multiLevelType w:val="hybridMultilevel"/>
    <w:tmpl w:val="12C4345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5AE6589"/>
    <w:multiLevelType w:val="multilevel"/>
    <w:tmpl w:val="03D663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D796A85"/>
    <w:multiLevelType w:val="hybridMultilevel"/>
    <w:tmpl w:val="2F2E6B92"/>
    <w:lvl w:ilvl="0" w:tplc="5094A4EA">
      <w:start w:val="1"/>
      <w:numFmt w:val="decimal"/>
      <w:lvlText w:val="%1."/>
      <w:lvlJc w:val="left"/>
      <w:pPr>
        <w:tabs>
          <w:tab w:val="num" w:pos="720"/>
        </w:tabs>
        <w:ind w:left="720" w:hanging="360"/>
      </w:pPr>
      <w:rPr>
        <w:rFonts w:hint="default"/>
      </w:rPr>
    </w:lvl>
    <w:lvl w:ilvl="1" w:tplc="3FFE831E" w:tentative="1">
      <w:start w:val="1"/>
      <w:numFmt w:val="lowerLetter"/>
      <w:lvlText w:val="%2."/>
      <w:lvlJc w:val="left"/>
      <w:pPr>
        <w:tabs>
          <w:tab w:val="num" w:pos="1440"/>
        </w:tabs>
        <w:ind w:left="1440" w:hanging="360"/>
      </w:pPr>
    </w:lvl>
    <w:lvl w:ilvl="2" w:tplc="7776467A" w:tentative="1">
      <w:start w:val="1"/>
      <w:numFmt w:val="lowerRoman"/>
      <w:lvlText w:val="%3."/>
      <w:lvlJc w:val="right"/>
      <w:pPr>
        <w:tabs>
          <w:tab w:val="num" w:pos="2160"/>
        </w:tabs>
        <w:ind w:left="2160" w:hanging="180"/>
      </w:pPr>
    </w:lvl>
    <w:lvl w:ilvl="3" w:tplc="1570BD42" w:tentative="1">
      <w:start w:val="1"/>
      <w:numFmt w:val="decimal"/>
      <w:lvlText w:val="%4."/>
      <w:lvlJc w:val="left"/>
      <w:pPr>
        <w:tabs>
          <w:tab w:val="num" w:pos="2880"/>
        </w:tabs>
        <w:ind w:left="2880" w:hanging="360"/>
      </w:pPr>
    </w:lvl>
    <w:lvl w:ilvl="4" w:tplc="475E6862" w:tentative="1">
      <w:start w:val="1"/>
      <w:numFmt w:val="lowerLetter"/>
      <w:lvlText w:val="%5."/>
      <w:lvlJc w:val="left"/>
      <w:pPr>
        <w:tabs>
          <w:tab w:val="num" w:pos="3600"/>
        </w:tabs>
        <w:ind w:left="3600" w:hanging="360"/>
      </w:pPr>
    </w:lvl>
    <w:lvl w:ilvl="5" w:tplc="D4C044C0" w:tentative="1">
      <w:start w:val="1"/>
      <w:numFmt w:val="lowerRoman"/>
      <w:lvlText w:val="%6."/>
      <w:lvlJc w:val="right"/>
      <w:pPr>
        <w:tabs>
          <w:tab w:val="num" w:pos="4320"/>
        </w:tabs>
        <w:ind w:left="4320" w:hanging="180"/>
      </w:pPr>
    </w:lvl>
    <w:lvl w:ilvl="6" w:tplc="C5F8391E" w:tentative="1">
      <w:start w:val="1"/>
      <w:numFmt w:val="decimal"/>
      <w:lvlText w:val="%7."/>
      <w:lvlJc w:val="left"/>
      <w:pPr>
        <w:tabs>
          <w:tab w:val="num" w:pos="5040"/>
        </w:tabs>
        <w:ind w:left="5040" w:hanging="360"/>
      </w:pPr>
    </w:lvl>
    <w:lvl w:ilvl="7" w:tplc="C638E0B2" w:tentative="1">
      <w:start w:val="1"/>
      <w:numFmt w:val="lowerLetter"/>
      <w:lvlText w:val="%8."/>
      <w:lvlJc w:val="left"/>
      <w:pPr>
        <w:tabs>
          <w:tab w:val="num" w:pos="5760"/>
        </w:tabs>
        <w:ind w:left="5760" w:hanging="360"/>
      </w:pPr>
    </w:lvl>
    <w:lvl w:ilvl="8" w:tplc="A1085AEE" w:tentative="1">
      <w:start w:val="1"/>
      <w:numFmt w:val="lowerRoman"/>
      <w:lvlText w:val="%9."/>
      <w:lvlJc w:val="right"/>
      <w:pPr>
        <w:tabs>
          <w:tab w:val="num" w:pos="6480"/>
        </w:tabs>
        <w:ind w:left="6480" w:hanging="180"/>
      </w:pPr>
    </w:lvl>
  </w:abstractNum>
  <w:abstractNum w:abstractNumId="15" w15:restartNumberingAfterBreak="0">
    <w:nsid w:val="7ED912FA"/>
    <w:multiLevelType w:val="multilevel"/>
    <w:tmpl w:val="4B0ECA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F070CAE"/>
    <w:multiLevelType w:val="multilevel"/>
    <w:tmpl w:val="470041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678457591">
    <w:abstractNumId w:val="12"/>
  </w:num>
  <w:num w:numId="2" w16cid:durableId="185160538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29462066">
    <w:abstractNumId w:val="4"/>
  </w:num>
  <w:num w:numId="4" w16cid:durableId="1612126063">
    <w:abstractNumId w:val="7"/>
  </w:num>
  <w:num w:numId="5" w16cid:durableId="1422986822">
    <w:abstractNumId w:val="10"/>
  </w:num>
  <w:num w:numId="6" w16cid:durableId="2132362837">
    <w:abstractNumId w:val="11"/>
  </w:num>
  <w:num w:numId="7" w16cid:durableId="60637209">
    <w:abstractNumId w:val="2"/>
  </w:num>
  <w:num w:numId="8" w16cid:durableId="312763152">
    <w:abstractNumId w:val="5"/>
  </w:num>
  <w:num w:numId="9" w16cid:durableId="857277592">
    <w:abstractNumId w:val="1"/>
  </w:num>
  <w:num w:numId="10" w16cid:durableId="1026830327">
    <w:abstractNumId w:val="3"/>
  </w:num>
  <w:num w:numId="11" w16cid:durableId="1911764892">
    <w:abstractNumId w:val="8"/>
  </w:num>
  <w:num w:numId="12" w16cid:durableId="1918467677">
    <w:abstractNumId w:val="15"/>
  </w:num>
  <w:num w:numId="13" w16cid:durableId="730807982">
    <w:abstractNumId w:val="6"/>
  </w:num>
  <w:num w:numId="14" w16cid:durableId="1620650524">
    <w:abstractNumId w:val="13"/>
  </w:num>
  <w:num w:numId="15" w16cid:durableId="271592790">
    <w:abstractNumId w:val="16"/>
  </w:num>
  <w:num w:numId="16" w16cid:durableId="1886984978">
    <w:abstractNumId w:val="9"/>
  </w:num>
  <w:num w:numId="17" w16cid:durableId="535551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attachedTemplate r:id="rId1"/>
  <w:defaultTabStop w:val="28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D6F"/>
    <w:rsid w:val="0000396E"/>
    <w:rsid w:val="0001096C"/>
    <w:rsid w:val="000406E9"/>
    <w:rsid w:val="000418CD"/>
    <w:rsid w:val="00045580"/>
    <w:rsid w:val="00057951"/>
    <w:rsid w:val="00074103"/>
    <w:rsid w:val="000758B6"/>
    <w:rsid w:val="00084A35"/>
    <w:rsid w:val="0009436A"/>
    <w:rsid w:val="00097F23"/>
    <w:rsid w:val="000B2BBE"/>
    <w:rsid w:val="000D0C26"/>
    <w:rsid w:val="000D3647"/>
    <w:rsid w:val="00117FB6"/>
    <w:rsid w:val="001258CC"/>
    <w:rsid w:val="00157C74"/>
    <w:rsid w:val="00160085"/>
    <w:rsid w:val="001659A8"/>
    <w:rsid w:val="00167F90"/>
    <w:rsid w:val="00171EAE"/>
    <w:rsid w:val="00184B1F"/>
    <w:rsid w:val="0018670D"/>
    <w:rsid w:val="00191598"/>
    <w:rsid w:val="00192A76"/>
    <w:rsid w:val="00192D8D"/>
    <w:rsid w:val="001A0048"/>
    <w:rsid w:val="001A2E0B"/>
    <w:rsid w:val="001A5CF5"/>
    <w:rsid w:val="001A709E"/>
    <w:rsid w:val="001B292C"/>
    <w:rsid w:val="001B3207"/>
    <w:rsid w:val="001C0DEB"/>
    <w:rsid w:val="001E65FA"/>
    <w:rsid w:val="001E6601"/>
    <w:rsid w:val="001E6F75"/>
    <w:rsid w:val="001E7BD3"/>
    <w:rsid w:val="001F28D5"/>
    <w:rsid w:val="001F567E"/>
    <w:rsid w:val="001F5A65"/>
    <w:rsid w:val="0022188F"/>
    <w:rsid w:val="00226CBC"/>
    <w:rsid w:val="0023602A"/>
    <w:rsid w:val="00237767"/>
    <w:rsid w:val="00245A56"/>
    <w:rsid w:val="00260D2F"/>
    <w:rsid w:val="00272920"/>
    <w:rsid w:val="002A0A71"/>
    <w:rsid w:val="002A5A4B"/>
    <w:rsid w:val="002B2B81"/>
    <w:rsid w:val="002B3901"/>
    <w:rsid w:val="002B451A"/>
    <w:rsid w:val="002D1AE1"/>
    <w:rsid w:val="002E1736"/>
    <w:rsid w:val="002E5F01"/>
    <w:rsid w:val="00302ADF"/>
    <w:rsid w:val="003049BC"/>
    <w:rsid w:val="0031010A"/>
    <w:rsid w:val="00313318"/>
    <w:rsid w:val="003142A2"/>
    <w:rsid w:val="00317B56"/>
    <w:rsid w:val="00327284"/>
    <w:rsid w:val="00347E43"/>
    <w:rsid w:val="003608A8"/>
    <w:rsid w:val="003616AA"/>
    <w:rsid w:val="003664EF"/>
    <w:rsid w:val="00371176"/>
    <w:rsid w:val="003749D1"/>
    <w:rsid w:val="00376764"/>
    <w:rsid w:val="003962F3"/>
    <w:rsid w:val="003A1EF2"/>
    <w:rsid w:val="003A690B"/>
    <w:rsid w:val="003B4322"/>
    <w:rsid w:val="003C7419"/>
    <w:rsid w:val="003D74AE"/>
    <w:rsid w:val="003F012C"/>
    <w:rsid w:val="003F27DA"/>
    <w:rsid w:val="003F6AC3"/>
    <w:rsid w:val="0040728B"/>
    <w:rsid w:val="0041337A"/>
    <w:rsid w:val="004218D7"/>
    <w:rsid w:val="00422B16"/>
    <w:rsid w:val="00425853"/>
    <w:rsid w:val="00426D82"/>
    <w:rsid w:val="0043067C"/>
    <w:rsid w:val="004421D1"/>
    <w:rsid w:val="00446C36"/>
    <w:rsid w:val="00447427"/>
    <w:rsid w:val="0045508C"/>
    <w:rsid w:val="00460F13"/>
    <w:rsid w:val="0046360F"/>
    <w:rsid w:val="00466606"/>
    <w:rsid w:val="00466A2C"/>
    <w:rsid w:val="00483895"/>
    <w:rsid w:val="00491045"/>
    <w:rsid w:val="0049307C"/>
    <w:rsid w:val="00494E72"/>
    <w:rsid w:val="004A3D1A"/>
    <w:rsid w:val="004B50C4"/>
    <w:rsid w:val="004B5CDE"/>
    <w:rsid w:val="004B7BCB"/>
    <w:rsid w:val="004C13B6"/>
    <w:rsid w:val="004E1FB9"/>
    <w:rsid w:val="004F0B27"/>
    <w:rsid w:val="004F0DFB"/>
    <w:rsid w:val="004F2526"/>
    <w:rsid w:val="004F4846"/>
    <w:rsid w:val="004F57E5"/>
    <w:rsid w:val="004F629C"/>
    <w:rsid w:val="00501332"/>
    <w:rsid w:val="00512022"/>
    <w:rsid w:val="005123B4"/>
    <w:rsid w:val="00512D88"/>
    <w:rsid w:val="005160D7"/>
    <w:rsid w:val="005166BF"/>
    <w:rsid w:val="00516D12"/>
    <w:rsid w:val="00517C41"/>
    <w:rsid w:val="0053230B"/>
    <w:rsid w:val="005331FE"/>
    <w:rsid w:val="00534AE3"/>
    <w:rsid w:val="005476B8"/>
    <w:rsid w:val="005502E4"/>
    <w:rsid w:val="00552AD9"/>
    <w:rsid w:val="005563A9"/>
    <w:rsid w:val="00570069"/>
    <w:rsid w:val="0057482B"/>
    <w:rsid w:val="00574F45"/>
    <w:rsid w:val="0058556B"/>
    <w:rsid w:val="00587D72"/>
    <w:rsid w:val="005916E6"/>
    <w:rsid w:val="005A0DC6"/>
    <w:rsid w:val="005A30DE"/>
    <w:rsid w:val="005A5CC7"/>
    <w:rsid w:val="005B0BDF"/>
    <w:rsid w:val="005C3536"/>
    <w:rsid w:val="005D4734"/>
    <w:rsid w:val="005E062C"/>
    <w:rsid w:val="005E4BB9"/>
    <w:rsid w:val="005F3A18"/>
    <w:rsid w:val="005F50AC"/>
    <w:rsid w:val="005F53B6"/>
    <w:rsid w:val="0062003D"/>
    <w:rsid w:val="006302F5"/>
    <w:rsid w:val="0063683B"/>
    <w:rsid w:val="0064338F"/>
    <w:rsid w:val="006477DD"/>
    <w:rsid w:val="00653558"/>
    <w:rsid w:val="00657720"/>
    <w:rsid w:val="00657BC4"/>
    <w:rsid w:val="00662D41"/>
    <w:rsid w:val="00665573"/>
    <w:rsid w:val="006716AE"/>
    <w:rsid w:val="00677205"/>
    <w:rsid w:val="0068117D"/>
    <w:rsid w:val="00696003"/>
    <w:rsid w:val="006C41C0"/>
    <w:rsid w:val="006D082C"/>
    <w:rsid w:val="006D51D9"/>
    <w:rsid w:val="006D6005"/>
    <w:rsid w:val="006E07A7"/>
    <w:rsid w:val="006F4D19"/>
    <w:rsid w:val="00727A0F"/>
    <w:rsid w:val="00727A50"/>
    <w:rsid w:val="00730E49"/>
    <w:rsid w:val="00733D0B"/>
    <w:rsid w:val="00743719"/>
    <w:rsid w:val="00744CD1"/>
    <w:rsid w:val="00755482"/>
    <w:rsid w:val="00761190"/>
    <w:rsid w:val="00765386"/>
    <w:rsid w:val="00767A02"/>
    <w:rsid w:val="00770286"/>
    <w:rsid w:val="0077068F"/>
    <w:rsid w:val="00781DDF"/>
    <w:rsid w:val="00790F6C"/>
    <w:rsid w:val="00791961"/>
    <w:rsid w:val="007934E6"/>
    <w:rsid w:val="007A35E1"/>
    <w:rsid w:val="007A3DFC"/>
    <w:rsid w:val="007B170F"/>
    <w:rsid w:val="007B49FD"/>
    <w:rsid w:val="007D5921"/>
    <w:rsid w:val="007D6D2D"/>
    <w:rsid w:val="007E1627"/>
    <w:rsid w:val="007E4C16"/>
    <w:rsid w:val="007E6660"/>
    <w:rsid w:val="007F3543"/>
    <w:rsid w:val="007F4167"/>
    <w:rsid w:val="007F7FA7"/>
    <w:rsid w:val="00805EFA"/>
    <w:rsid w:val="00807868"/>
    <w:rsid w:val="008338BF"/>
    <w:rsid w:val="0084030C"/>
    <w:rsid w:val="00846FB4"/>
    <w:rsid w:val="00851025"/>
    <w:rsid w:val="00851901"/>
    <w:rsid w:val="00855DF8"/>
    <w:rsid w:val="0086099B"/>
    <w:rsid w:val="008668B3"/>
    <w:rsid w:val="00871668"/>
    <w:rsid w:val="00873D6F"/>
    <w:rsid w:val="008747E9"/>
    <w:rsid w:val="00881E0B"/>
    <w:rsid w:val="008A591E"/>
    <w:rsid w:val="008A5BCB"/>
    <w:rsid w:val="008B3EA2"/>
    <w:rsid w:val="008B608B"/>
    <w:rsid w:val="008C49A3"/>
    <w:rsid w:val="008C6EFC"/>
    <w:rsid w:val="008D51F7"/>
    <w:rsid w:val="008D5425"/>
    <w:rsid w:val="008E2E46"/>
    <w:rsid w:val="008E37D6"/>
    <w:rsid w:val="008F0B99"/>
    <w:rsid w:val="00916C38"/>
    <w:rsid w:val="00920A0C"/>
    <w:rsid w:val="009220FD"/>
    <w:rsid w:val="00925048"/>
    <w:rsid w:val="009253A3"/>
    <w:rsid w:val="009322B2"/>
    <w:rsid w:val="00935370"/>
    <w:rsid w:val="00941B61"/>
    <w:rsid w:val="009425E8"/>
    <w:rsid w:val="0096088A"/>
    <w:rsid w:val="00962676"/>
    <w:rsid w:val="009626D7"/>
    <w:rsid w:val="00962FE0"/>
    <w:rsid w:val="009707AE"/>
    <w:rsid w:val="0097464D"/>
    <w:rsid w:val="00974E79"/>
    <w:rsid w:val="00975EC8"/>
    <w:rsid w:val="009776E8"/>
    <w:rsid w:val="00977D8B"/>
    <w:rsid w:val="009B17BB"/>
    <w:rsid w:val="009F3A2D"/>
    <w:rsid w:val="009F574A"/>
    <w:rsid w:val="00A014C7"/>
    <w:rsid w:val="00A019A9"/>
    <w:rsid w:val="00A05102"/>
    <w:rsid w:val="00A104D1"/>
    <w:rsid w:val="00A10E84"/>
    <w:rsid w:val="00A47C7C"/>
    <w:rsid w:val="00A51249"/>
    <w:rsid w:val="00A52A3F"/>
    <w:rsid w:val="00A5306B"/>
    <w:rsid w:val="00A53B5D"/>
    <w:rsid w:val="00A579F8"/>
    <w:rsid w:val="00A70264"/>
    <w:rsid w:val="00A845E7"/>
    <w:rsid w:val="00A86EBF"/>
    <w:rsid w:val="00AB2A92"/>
    <w:rsid w:val="00AE1D95"/>
    <w:rsid w:val="00AF0E4E"/>
    <w:rsid w:val="00AF1C24"/>
    <w:rsid w:val="00AF2174"/>
    <w:rsid w:val="00AF73D0"/>
    <w:rsid w:val="00B060D8"/>
    <w:rsid w:val="00B22D7F"/>
    <w:rsid w:val="00B33CCC"/>
    <w:rsid w:val="00B36071"/>
    <w:rsid w:val="00B37190"/>
    <w:rsid w:val="00B42530"/>
    <w:rsid w:val="00B429D7"/>
    <w:rsid w:val="00B44FD2"/>
    <w:rsid w:val="00B51C97"/>
    <w:rsid w:val="00B5531E"/>
    <w:rsid w:val="00B61679"/>
    <w:rsid w:val="00B61EBA"/>
    <w:rsid w:val="00B73436"/>
    <w:rsid w:val="00B756A1"/>
    <w:rsid w:val="00B7575B"/>
    <w:rsid w:val="00B773B8"/>
    <w:rsid w:val="00B779C5"/>
    <w:rsid w:val="00B87A0E"/>
    <w:rsid w:val="00BA2563"/>
    <w:rsid w:val="00BA3B62"/>
    <w:rsid w:val="00BA5053"/>
    <w:rsid w:val="00BA55D7"/>
    <w:rsid w:val="00BA74DD"/>
    <w:rsid w:val="00BB2014"/>
    <w:rsid w:val="00BC2BD4"/>
    <w:rsid w:val="00BC2F6F"/>
    <w:rsid w:val="00BC4B74"/>
    <w:rsid w:val="00BD7636"/>
    <w:rsid w:val="00BE04AC"/>
    <w:rsid w:val="00BF036B"/>
    <w:rsid w:val="00BF3D05"/>
    <w:rsid w:val="00C04A49"/>
    <w:rsid w:val="00C23A81"/>
    <w:rsid w:val="00C25E6A"/>
    <w:rsid w:val="00C34E83"/>
    <w:rsid w:val="00C3677F"/>
    <w:rsid w:val="00C424F8"/>
    <w:rsid w:val="00C43AEC"/>
    <w:rsid w:val="00C46427"/>
    <w:rsid w:val="00C53B79"/>
    <w:rsid w:val="00C54439"/>
    <w:rsid w:val="00C76222"/>
    <w:rsid w:val="00C77B86"/>
    <w:rsid w:val="00C8435E"/>
    <w:rsid w:val="00C84E18"/>
    <w:rsid w:val="00C86705"/>
    <w:rsid w:val="00C903E9"/>
    <w:rsid w:val="00C93CD0"/>
    <w:rsid w:val="00C957BB"/>
    <w:rsid w:val="00CA0088"/>
    <w:rsid w:val="00CB23B6"/>
    <w:rsid w:val="00CB3DE0"/>
    <w:rsid w:val="00CB5E2C"/>
    <w:rsid w:val="00CB65DD"/>
    <w:rsid w:val="00CB7C07"/>
    <w:rsid w:val="00CC60E9"/>
    <w:rsid w:val="00CE174E"/>
    <w:rsid w:val="00CE198D"/>
    <w:rsid w:val="00CE3C38"/>
    <w:rsid w:val="00CF6283"/>
    <w:rsid w:val="00D042AE"/>
    <w:rsid w:val="00D10F1B"/>
    <w:rsid w:val="00D1422E"/>
    <w:rsid w:val="00D34587"/>
    <w:rsid w:val="00D34C12"/>
    <w:rsid w:val="00D426F0"/>
    <w:rsid w:val="00D42B2A"/>
    <w:rsid w:val="00D51052"/>
    <w:rsid w:val="00D5287C"/>
    <w:rsid w:val="00D621B4"/>
    <w:rsid w:val="00D70CB2"/>
    <w:rsid w:val="00D70E45"/>
    <w:rsid w:val="00D72C89"/>
    <w:rsid w:val="00D83E4B"/>
    <w:rsid w:val="00D90149"/>
    <w:rsid w:val="00D901C1"/>
    <w:rsid w:val="00D91DE0"/>
    <w:rsid w:val="00D943BB"/>
    <w:rsid w:val="00D97B3E"/>
    <w:rsid w:val="00DA3503"/>
    <w:rsid w:val="00DA6E9B"/>
    <w:rsid w:val="00DB068C"/>
    <w:rsid w:val="00DB2180"/>
    <w:rsid w:val="00DB3493"/>
    <w:rsid w:val="00DC0996"/>
    <w:rsid w:val="00DC79BC"/>
    <w:rsid w:val="00DD1D2E"/>
    <w:rsid w:val="00DD74EF"/>
    <w:rsid w:val="00DE0322"/>
    <w:rsid w:val="00DE417D"/>
    <w:rsid w:val="00DE72AC"/>
    <w:rsid w:val="00DF4419"/>
    <w:rsid w:val="00DF5491"/>
    <w:rsid w:val="00E02133"/>
    <w:rsid w:val="00E15326"/>
    <w:rsid w:val="00E264F6"/>
    <w:rsid w:val="00E266B1"/>
    <w:rsid w:val="00E31CE4"/>
    <w:rsid w:val="00E34F98"/>
    <w:rsid w:val="00E42907"/>
    <w:rsid w:val="00E456FB"/>
    <w:rsid w:val="00E4626F"/>
    <w:rsid w:val="00E56813"/>
    <w:rsid w:val="00E62517"/>
    <w:rsid w:val="00E654F2"/>
    <w:rsid w:val="00E65B05"/>
    <w:rsid w:val="00E66ECD"/>
    <w:rsid w:val="00E675EF"/>
    <w:rsid w:val="00E736B8"/>
    <w:rsid w:val="00E73F97"/>
    <w:rsid w:val="00E85416"/>
    <w:rsid w:val="00EA2431"/>
    <w:rsid w:val="00EA33DD"/>
    <w:rsid w:val="00EA4C53"/>
    <w:rsid w:val="00EA6847"/>
    <w:rsid w:val="00EB6BE5"/>
    <w:rsid w:val="00EB79B0"/>
    <w:rsid w:val="00EC52D2"/>
    <w:rsid w:val="00EF20C0"/>
    <w:rsid w:val="00EF2562"/>
    <w:rsid w:val="00EF35D1"/>
    <w:rsid w:val="00EF49FD"/>
    <w:rsid w:val="00F03DE7"/>
    <w:rsid w:val="00F16D16"/>
    <w:rsid w:val="00F20289"/>
    <w:rsid w:val="00F3376E"/>
    <w:rsid w:val="00F4312D"/>
    <w:rsid w:val="00F5639D"/>
    <w:rsid w:val="00F5764C"/>
    <w:rsid w:val="00F61AA6"/>
    <w:rsid w:val="00F62044"/>
    <w:rsid w:val="00F66124"/>
    <w:rsid w:val="00F741C7"/>
    <w:rsid w:val="00F741EC"/>
    <w:rsid w:val="00F775D7"/>
    <w:rsid w:val="00FA06E7"/>
    <w:rsid w:val="00FA3116"/>
    <w:rsid w:val="00FB09EC"/>
    <w:rsid w:val="00FB4CA5"/>
    <w:rsid w:val="00FC178F"/>
    <w:rsid w:val="00FC1AEA"/>
    <w:rsid w:val="00FC2E39"/>
    <w:rsid w:val="00FC617D"/>
    <w:rsid w:val="00FD0A70"/>
    <w:rsid w:val="00FD24AD"/>
    <w:rsid w:val="00FD673E"/>
    <w:rsid w:val="00FD7FFB"/>
    <w:rsid w:val="00FE1466"/>
    <w:rsid w:val="00FE304F"/>
    <w:rsid w:val="00FE640D"/>
    <w:rsid w:val="00FF58E2"/>
    <w:rsid w:val="00FF7955"/>
    <w:rsid w:val="14A81F60"/>
    <w:rsid w:val="1C02E4F2"/>
    <w:rsid w:val="6B15BF6F"/>
    <w:rsid w:val="6DFB50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0DB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117D"/>
    <w:rPr>
      <w:rFonts w:ascii="Arial" w:eastAsia="Times New Roman" w:hAnsi="Arial" w:cs="Times New Roman"/>
      <w:sz w:val="24"/>
      <w:szCs w:val="24"/>
      <w:lang w:eastAsia="en-GB"/>
    </w:rPr>
  </w:style>
  <w:style w:type="paragraph" w:styleId="berschrift1">
    <w:name w:val="heading 1"/>
    <w:basedOn w:val="Standard"/>
    <w:next w:val="Standard"/>
    <w:link w:val="berschrift1Zchn"/>
    <w:uiPriority w:val="9"/>
    <w:qFormat/>
    <w:rsid w:val="00920A0C"/>
    <w:pPr>
      <w:autoSpaceDE w:val="0"/>
      <w:autoSpaceDN w:val="0"/>
      <w:adjustRightInd w:val="0"/>
      <w:spacing w:after="240" w:line="360" w:lineRule="auto"/>
      <w:jc w:val="both"/>
      <w:outlineLvl w:val="0"/>
    </w:pPr>
    <w:rPr>
      <w:rFonts w:cs="Arial"/>
      <w:b/>
      <w:sz w:val="28"/>
      <w:szCs w:val="32"/>
    </w:rPr>
  </w:style>
  <w:style w:type="paragraph" w:styleId="berschrift2">
    <w:name w:val="heading 2"/>
    <w:basedOn w:val="Standard"/>
    <w:next w:val="Standard"/>
    <w:link w:val="berschrift2Zchn"/>
    <w:uiPriority w:val="9"/>
    <w:unhideWhenUsed/>
    <w:qFormat/>
    <w:rsid w:val="00920A0C"/>
    <w:pPr>
      <w:autoSpaceDE w:val="0"/>
      <w:autoSpaceDN w:val="0"/>
      <w:adjustRightInd w:val="0"/>
      <w:spacing w:after="240" w:line="360" w:lineRule="auto"/>
      <w:jc w:val="both"/>
      <w:outlineLvl w:val="1"/>
    </w:pPr>
    <w:rPr>
      <w:rFonts w:cs="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621B4"/>
    <w:pPr>
      <w:tabs>
        <w:tab w:val="center" w:pos="4536"/>
        <w:tab w:val="right" w:pos="9072"/>
      </w:tabs>
    </w:pPr>
  </w:style>
  <w:style w:type="character" w:customStyle="1" w:styleId="KopfzeileZchn">
    <w:name w:val="Kopfzeile Zchn"/>
    <w:basedOn w:val="Absatz-Standardschriftart"/>
    <w:link w:val="Kopfzeile"/>
    <w:uiPriority w:val="99"/>
    <w:rsid w:val="00D621B4"/>
  </w:style>
  <w:style w:type="paragraph" w:styleId="Fuzeile">
    <w:name w:val="footer"/>
    <w:basedOn w:val="Standard"/>
    <w:link w:val="FuzeileZchn"/>
    <w:uiPriority w:val="99"/>
    <w:unhideWhenUsed/>
    <w:rsid w:val="00D621B4"/>
    <w:pPr>
      <w:tabs>
        <w:tab w:val="center" w:pos="4536"/>
        <w:tab w:val="right" w:pos="9072"/>
      </w:tabs>
    </w:pPr>
  </w:style>
  <w:style w:type="character" w:customStyle="1" w:styleId="FuzeileZchn">
    <w:name w:val="Fußzeile Zchn"/>
    <w:basedOn w:val="Absatz-Standardschriftart"/>
    <w:link w:val="Fuzeile"/>
    <w:uiPriority w:val="99"/>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uiPriority w:val="22"/>
    <w:qFormat/>
    <w:rsid w:val="00920A0C"/>
    <w:rPr>
      <w:rFonts w:ascii="Arial" w:hAnsi="Arial" w:cs="Arial"/>
      <w:b/>
      <w:u w:val="none"/>
      <w:lang w:val="it-IT"/>
    </w:rPr>
  </w:style>
  <w:style w:type="paragraph" w:styleId="KeinLeerraum">
    <w:name w:val="No Spacing"/>
    <w:uiPriority w:val="1"/>
    <w:rsid w:val="006716AE"/>
    <w:rPr>
      <w:rFonts w:ascii="Times New Roman" w:eastAsia="Times New Roman" w:hAnsi="Times New Roman" w:cs="Times New Roman"/>
      <w:sz w:val="24"/>
      <w:szCs w:val="24"/>
      <w:lang w:eastAsia="de-DE"/>
    </w:rPr>
  </w:style>
  <w:style w:type="character" w:styleId="Hyperlink">
    <w:name w:val="Hyperlink"/>
    <w:rsid w:val="00512D88"/>
    <w:rPr>
      <w:color w:val="0000FF"/>
      <w:u w:val="single"/>
      <w:lang w:val="it-IT" w:eastAsia="en-GB"/>
    </w:rPr>
  </w:style>
  <w:style w:type="paragraph" w:styleId="Listenabsatz">
    <w:name w:val="List Paragraph"/>
    <w:basedOn w:val="Standard"/>
    <w:uiPriority w:val="34"/>
    <w:rsid w:val="0049307C"/>
    <w:pPr>
      <w:ind w:left="720"/>
      <w:contextualSpacing/>
    </w:pPr>
    <w:rPr>
      <w:lang w:eastAsia="de-DE"/>
    </w:rPr>
  </w:style>
  <w:style w:type="paragraph" w:styleId="Kommentartext">
    <w:name w:val="annotation text"/>
    <w:basedOn w:val="Standard"/>
    <w:link w:val="KommentartextZchn"/>
    <w:rsid w:val="0049307C"/>
    <w:rPr>
      <w:sz w:val="20"/>
      <w:szCs w:val="20"/>
      <w:lang w:eastAsia="de-DE"/>
    </w:rPr>
  </w:style>
  <w:style w:type="character" w:customStyle="1" w:styleId="KommentartextZchn">
    <w:name w:val="Kommentartext Zchn"/>
    <w:basedOn w:val="Absatz-Standardschriftart"/>
    <w:link w:val="Kommentartext"/>
    <w:rsid w:val="0049307C"/>
    <w:rPr>
      <w:rFonts w:ascii="Times New Roman" w:eastAsia="Times New Roman" w:hAnsi="Times New Roman" w:cs="Times New Roman"/>
      <w:sz w:val="20"/>
      <w:szCs w:val="20"/>
      <w:lang w:eastAsia="de-DE"/>
    </w:rPr>
  </w:style>
  <w:style w:type="paragraph" w:styleId="Funotentext">
    <w:name w:val="footnote text"/>
    <w:basedOn w:val="Standard"/>
    <w:link w:val="FunotentextZchn"/>
    <w:semiHidden/>
    <w:unhideWhenUsed/>
    <w:rsid w:val="0049307C"/>
    <w:rPr>
      <w:sz w:val="20"/>
      <w:szCs w:val="20"/>
      <w:lang w:eastAsia="de-DE"/>
    </w:rPr>
  </w:style>
  <w:style w:type="character" w:customStyle="1" w:styleId="FunotentextZchn">
    <w:name w:val="Fußnotentext Zchn"/>
    <w:basedOn w:val="Absatz-Standardschriftart"/>
    <w:link w:val="Funotentext"/>
    <w:semiHidden/>
    <w:rsid w:val="0049307C"/>
    <w:rPr>
      <w:rFonts w:ascii="Times New Roman" w:eastAsia="Times New Roman" w:hAnsi="Times New Roman" w:cs="Times New Roman"/>
      <w:sz w:val="20"/>
      <w:szCs w:val="20"/>
      <w:lang w:eastAsia="de-DE"/>
    </w:rPr>
  </w:style>
  <w:style w:type="character" w:styleId="Funotenzeichen">
    <w:name w:val="footnote reference"/>
    <w:basedOn w:val="Absatz-Standardschriftart"/>
    <w:semiHidden/>
    <w:unhideWhenUsed/>
    <w:rsid w:val="0049307C"/>
    <w:rPr>
      <w:vertAlign w:val="superscript"/>
    </w:rPr>
  </w:style>
  <w:style w:type="character" w:customStyle="1" w:styleId="berschrift1Zchn">
    <w:name w:val="Überschrift 1 Zchn"/>
    <w:basedOn w:val="Absatz-Standardschriftart"/>
    <w:link w:val="berschrift1"/>
    <w:uiPriority w:val="9"/>
    <w:rsid w:val="00920A0C"/>
    <w:rPr>
      <w:rFonts w:ascii="Arial" w:eastAsia="Times New Roman" w:hAnsi="Arial" w:cs="Arial"/>
      <w:b/>
      <w:sz w:val="28"/>
      <w:szCs w:val="32"/>
      <w:lang w:eastAsia="en-GB"/>
    </w:rPr>
  </w:style>
  <w:style w:type="character" w:customStyle="1" w:styleId="berschrift2Zchn">
    <w:name w:val="Überschrift 2 Zchn"/>
    <w:basedOn w:val="Absatz-Standardschriftart"/>
    <w:link w:val="berschrift2"/>
    <w:uiPriority w:val="9"/>
    <w:rsid w:val="00920A0C"/>
    <w:rPr>
      <w:rFonts w:ascii="Arial" w:eastAsia="Times New Roman" w:hAnsi="Arial" w:cs="Arial"/>
      <w:b/>
      <w:sz w:val="24"/>
      <w:szCs w:val="24"/>
      <w:lang w:eastAsia="en-GB"/>
    </w:rPr>
  </w:style>
  <w:style w:type="character" w:styleId="Hervorhebung">
    <w:name w:val="Emphasis"/>
    <w:uiPriority w:val="20"/>
    <w:qFormat/>
    <w:rsid w:val="00920A0C"/>
    <w:rPr>
      <w:rFonts w:ascii="Arial" w:hAnsi="Arial" w:cs="Arial"/>
      <w:i/>
      <w:lang w:val="it-IT"/>
    </w:rPr>
  </w:style>
  <w:style w:type="character" w:customStyle="1" w:styleId="x033494008-29112010">
    <w:name w:val="x_033494008-29112010"/>
    <w:rsid w:val="0053230B"/>
  </w:style>
  <w:style w:type="paragraph" w:customStyle="1" w:styleId="Default">
    <w:name w:val="Default"/>
    <w:rsid w:val="005D4734"/>
    <w:pPr>
      <w:autoSpaceDE w:val="0"/>
      <w:autoSpaceDN w:val="0"/>
      <w:adjustRightInd w:val="0"/>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0B2BBE"/>
    <w:rPr>
      <w:sz w:val="16"/>
      <w:szCs w:val="16"/>
    </w:rPr>
  </w:style>
  <w:style w:type="paragraph" w:styleId="Kommentarthema">
    <w:name w:val="annotation subject"/>
    <w:basedOn w:val="Kommentartext"/>
    <w:next w:val="Kommentartext"/>
    <w:link w:val="KommentarthemaZchn"/>
    <w:uiPriority w:val="99"/>
    <w:semiHidden/>
    <w:unhideWhenUsed/>
    <w:rsid w:val="000B2BBE"/>
    <w:rPr>
      <w:b/>
      <w:bCs/>
      <w:lang w:eastAsia="en-GB"/>
    </w:rPr>
  </w:style>
  <w:style w:type="character" w:customStyle="1" w:styleId="KommentarthemaZchn">
    <w:name w:val="Kommentarthema Zchn"/>
    <w:basedOn w:val="KommentartextZchn"/>
    <w:link w:val="Kommentarthema"/>
    <w:uiPriority w:val="99"/>
    <w:semiHidden/>
    <w:rsid w:val="000B2BBE"/>
    <w:rPr>
      <w:rFonts w:ascii="Arial" w:eastAsia="Times New Roman" w:hAnsi="Arial" w:cs="Times New Roman"/>
      <w:b/>
      <w:bCs/>
      <w:sz w:val="20"/>
      <w:szCs w:val="20"/>
      <w:lang w:val="it-IT" w:eastAsia="en-GB"/>
    </w:rPr>
  </w:style>
  <w:style w:type="character" w:customStyle="1" w:styleId="normaltextrun">
    <w:name w:val="normaltextrun"/>
    <w:basedOn w:val="Absatz-Standardschriftart"/>
    <w:rsid w:val="0062003D"/>
  </w:style>
  <w:style w:type="character" w:styleId="BesuchterLink">
    <w:name w:val="FollowedHyperlink"/>
    <w:basedOn w:val="Absatz-Standardschriftart"/>
    <w:uiPriority w:val="99"/>
    <w:semiHidden/>
    <w:unhideWhenUsed/>
    <w:rsid w:val="00E266B1"/>
    <w:rPr>
      <w:color w:val="800080" w:themeColor="followedHyperlink"/>
      <w:u w:val="single"/>
    </w:rPr>
  </w:style>
  <w:style w:type="character" w:customStyle="1" w:styleId="eop">
    <w:name w:val="eop"/>
    <w:basedOn w:val="Absatz-Standardschriftart"/>
    <w:rsid w:val="002B3901"/>
  </w:style>
  <w:style w:type="paragraph" w:styleId="berarbeitung">
    <w:name w:val="Revision"/>
    <w:hidden/>
    <w:uiPriority w:val="99"/>
    <w:semiHidden/>
    <w:rsid w:val="00871668"/>
    <w:rPr>
      <w:rFonts w:ascii="Arial" w:eastAsia="Times New Roman" w:hAnsi="Arial" w:cs="Times New Roman"/>
      <w:sz w:val="24"/>
      <w:szCs w:val="24"/>
      <w:lang w:eastAsia="en-GB"/>
    </w:rPr>
  </w:style>
  <w:style w:type="character" w:customStyle="1" w:styleId="NichtaufgelsteErwhnung1">
    <w:name w:val="Nicht aufgelöste Erwähnung1"/>
    <w:basedOn w:val="Absatz-Standardschriftart"/>
    <w:uiPriority w:val="99"/>
    <w:semiHidden/>
    <w:unhideWhenUsed/>
    <w:rsid w:val="00B73436"/>
    <w:rPr>
      <w:color w:val="808080"/>
      <w:shd w:val="clear" w:color="auto" w:fill="E6E6E6"/>
    </w:rPr>
  </w:style>
  <w:style w:type="character" w:styleId="NichtaufgelsteErwhnung">
    <w:name w:val="Unresolved Mention"/>
    <w:basedOn w:val="Absatz-Standardschriftart"/>
    <w:uiPriority w:val="99"/>
    <w:semiHidden/>
    <w:unhideWhenUsed/>
    <w:rsid w:val="005563A9"/>
    <w:rPr>
      <w:color w:val="605E5C"/>
      <w:shd w:val="clear" w:color="auto" w:fill="E1DFDD"/>
    </w:rPr>
  </w:style>
  <w:style w:type="table" w:styleId="Tabellenraster">
    <w:name w:val="Table Grid"/>
    <w:basedOn w:val="NormaleTabelle"/>
    <w:uiPriority w:val="59"/>
    <w:rsid w:val="006811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6663">
      <w:bodyDiv w:val="1"/>
      <w:marLeft w:val="0"/>
      <w:marRight w:val="0"/>
      <w:marTop w:val="0"/>
      <w:marBottom w:val="0"/>
      <w:divBdr>
        <w:top w:val="none" w:sz="0" w:space="0" w:color="auto"/>
        <w:left w:val="none" w:sz="0" w:space="0" w:color="auto"/>
        <w:bottom w:val="none" w:sz="0" w:space="0" w:color="auto"/>
        <w:right w:val="none" w:sz="0" w:space="0" w:color="auto"/>
      </w:divBdr>
    </w:div>
    <w:div w:id="251286109">
      <w:bodyDiv w:val="1"/>
      <w:marLeft w:val="0"/>
      <w:marRight w:val="0"/>
      <w:marTop w:val="0"/>
      <w:marBottom w:val="0"/>
      <w:divBdr>
        <w:top w:val="none" w:sz="0" w:space="0" w:color="auto"/>
        <w:left w:val="none" w:sz="0" w:space="0" w:color="auto"/>
        <w:bottom w:val="none" w:sz="0" w:space="0" w:color="auto"/>
        <w:right w:val="none" w:sz="0" w:space="0" w:color="auto"/>
      </w:divBdr>
    </w:div>
    <w:div w:id="465200571">
      <w:bodyDiv w:val="1"/>
      <w:marLeft w:val="0"/>
      <w:marRight w:val="0"/>
      <w:marTop w:val="0"/>
      <w:marBottom w:val="0"/>
      <w:divBdr>
        <w:top w:val="none" w:sz="0" w:space="0" w:color="auto"/>
        <w:left w:val="none" w:sz="0" w:space="0" w:color="auto"/>
        <w:bottom w:val="none" w:sz="0" w:space="0" w:color="auto"/>
        <w:right w:val="none" w:sz="0" w:space="0" w:color="auto"/>
      </w:divBdr>
    </w:div>
    <w:div w:id="743380275">
      <w:bodyDiv w:val="1"/>
      <w:marLeft w:val="0"/>
      <w:marRight w:val="0"/>
      <w:marTop w:val="0"/>
      <w:marBottom w:val="0"/>
      <w:divBdr>
        <w:top w:val="none" w:sz="0" w:space="0" w:color="auto"/>
        <w:left w:val="none" w:sz="0" w:space="0" w:color="auto"/>
        <w:bottom w:val="none" w:sz="0" w:space="0" w:color="auto"/>
        <w:right w:val="none" w:sz="0" w:space="0" w:color="auto"/>
      </w:divBdr>
    </w:div>
    <w:div w:id="866985545">
      <w:bodyDiv w:val="1"/>
      <w:marLeft w:val="0"/>
      <w:marRight w:val="0"/>
      <w:marTop w:val="0"/>
      <w:marBottom w:val="0"/>
      <w:divBdr>
        <w:top w:val="none" w:sz="0" w:space="0" w:color="auto"/>
        <w:left w:val="none" w:sz="0" w:space="0" w:color="auto"/>
        <w:bottom w:val="none" w:sz="0" w:space="0" w:color="auto"/>
        <w:right w:val="none" w:sz="0" w:space="0" w:color="auto"/>
      </w:divBdr>
    </w:div>
    <w:div w:id="984045234">
      <w:bodyDiv w:val="1"/>
      <w:marLeft w:val="0"/>
      <w:marRight w:val="0"/>
      <w:marTop w:val="0"/>
      <w:marBottom w:val="0"/>
      <w:divBdr>
        <w:top w:val="none" w:sz="0" w:space="0" w:color="auto"/>
        <w:left w:val="none" w:sz="0" w:space="0" w:color="auto"/>
        <w:bottom w:val="none" w:sz="0" w:space="0" w:color="auto"/>
        <w:right w:val="none" w:sz="0" w:space="0" w:color="auto"/>
      </w:divBdr>
    </w:div>
    <w:div w:id="998074451">
      <w:bodyDiv w:val="1"/>
      <w:marLeft w:val="0"/>
      <w:marRight w:val="0"/>
      <w:marTop w:val="0"/>
      <w:marBottom w:val="0"/>
      <w:divBdr>
        <w:top w:val="none" w:sz="0" w:space="0" w:color="auto"/>
        <w:left w:val="none" w:sz="0" w:space="0" w:color="auto"/>
        <w:bottom w:val="none" w:sz="0" w:space="0" w:color="auto"/>
        <w:right w:val="none" w:sz="0" w:space="0" w:color="auto"/>
      </w:divBdr>
    </w:div>
    <w:div w:id="999582559">
      <w:bodyDiv w:val="1"/>
      <w:marLeft w:val="0"/>
      <w:marRight w:val="0"/>
      <w:marTop w:val="0"/>
      <w:marBottom w:val="0"/>
      <w:divBdr>
        <w:top w:val="none" w:sz="0" w:space="0" w:color="auto"/>
        <w:left w:val="none" w:sz="0" w:space="0" w:color="auto"/>
        <w:bottom w:val="none" w:sz="0" w:space="0" w:color="auto"/>
        <w:right w:val="none" w:sz="0" w:space="0" w:color="auto"/>
      </w:divBdr>
    </w:div>
    <w:div w:id="1147088043">
      <w:bodyDiv w:val="1"/>
      <w:marLeft w:val="0"/>
      <w:marRight w:val="0"/>
      <w:marTop w:val="0"/>
      <w:marBottom w:val="0"/>
      <w:divBdr>
        <w:top w:val="none" w:sz="0" w:space="0" w:color="auto"/>
        <w:left w:val="none" w:sz="0" w:space="0" w:color="auto"/>
        <w:bottom w:val="none" w:sz="0" w:space="0" w:color="auto"/>
        <w:right w:val="none" w:sz="0" w:space="0" w:color="auto"/>
      </w:divBdr>
    </w:div>
    <w:div w:id="1219241504">
      <w:bodyDiv w:val="1"/>
      <w:marLeft w:val="0"/>
      <w:marRight w:val="0"/>
      <w:marTop w:val="0"/>
      <w:marBottom w:val="0"/>
      <w:divBdr>
        <w:top w:val="none" w:sz="0" w:space="0" w:color="auto"/>
        <w:left w:val="none" w:sz="0" w:space="0" w:color="auto"/>
        <w:bottom w:val="none" w:sz="0" w:space="0" w:color="auto"/>
        <w:right w:val="none" w:sz="0" w:space="0" w:color="auto"/>
      </w:divBdr>
    </w:div>
    <w:div w:id="1375502261">
      <w:bodyDiv w:val="1"/>
      <w:marLeft w:val="0"/>
      <w:marRight w:val="0"/>
      <w:marTop w:val="0"/>
      <w:marBottom w:val="0"/>
      <w:divBdr>
        <w:top w:val="none" w:sz="0" w:space="0" w:color="auto"/>
        <w:left w:val="none" w:sz="0" w:space="0" w:color="auto"/>
        <w:bottom w:val="none" w:sz="0" w:space="0" w:color="auto"/>
        <w:right w:val="none" w:sz="0" w:space="0" w:color="auto"/>
      </w:divBdr>
    </w:div>
    <w:div w:id="178133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hyperlink" Target="mailto:press@meyle.com"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www.youtube.com/user/MEYLETV"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linkedin.com/company/meyle-ag/"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yperlink" Target="https://www.facebook.com/meyle.parts" TargetMode="External"/><Relationship Id="rId23" Type="http://schemas.openxmlformats.org/officeDocument/2006/relationships/header" Target="header4.xml"/><Relationship Id="rId10" Type="http://schemas.openxmlformats.org/officeDocument/2006/relationships/hyperlink" Target="mailto:press@meyle.com"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mailto:meyle@klenkhoursch.de" TargetMode="External"/><Relationship Id="rId14" Type="http://schemas.openxmlformats.org/officeDocument/2006/relationships/hyperlink" Target="https://www.instagram.com/meyle_parts/" TargetMode="External"/><Relationship Id="rId22"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K:\01%20Kunden\MEYLE\Projekte\Medienarbeit\Pressemitteilungen\_2022\00_Vorlage%20Pressemitteilung\Pressemitteilungen\Vorlage_Pressemitteilung_de_NEU_210222.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999929 xmlns="http://www.datev.de/BSOffice/999929">1506c672-315e-491c-8fa9-e514283a67a2</BSO999929>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D8CB52-1136-4E12-869E-2A03B3B87C52}">
  <ds:schemaRefs>
    <ds:schemaRef ds:uri="http://www.datev.de/BSOffice/999929"/>
  </ds:schemaRefs>
</ds:datastoreItem>
</file>

<file path=customXml/itemProps2.xml><?xml version="1.0" encoding="utf-8"?>
<ds:datastoreItem xmlns:ds="http://schemas.openxmlformats.org/officeDocument/2006/customXml" ds:itemID="{50E39F0E-EA35-4522-8B63-0710F4A87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Vorlage_Pressemitteilung_de_NEU_210222</Template>
  <TotalTime>0</TotalTime>
  <Pages>5</Pages>
  <Words>1161</Words>
  <Characters>7321</Characters>
  <Application>Microsoft Office Word</Application>
  <DocSecurity>0</DocSecurity>
  <Lines>61</Lines>
  <Paragraphs>16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8466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2022-04-07T15:29:00Z</dcterms:created>
  <dcterms:modified xsi:type="dcterms:W3CDTF">2022-04-12T14:35:00Z</dcterms:modified>
</cp:coreProperties>
</file>