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2EA" w:rsidRPr="003D52EA" w:rsidRDefault="003D52EA" w:rsidP="003D52EA">
      <w:pPr>
        <w:spacing w:after="240"/>
        <w:jc w:val="both"/>
        <w:rPr>
          <w:rStyle w:val="x033494008-29112010"/>
          <w:rFonts w:ascii="Arial" w:hAnsi="Arial" w:cs="Arial"/>
          <w:b/>
          <w:sz w:val="28"/>
          <w:szCs w:val="28"/>
        </w:rPr>
      </w:pPr>
      <w:r w:rsidRPr="003D52EA">
        <w:rPr>
          <w:rStyle w:val="x033494008-29112010"/>
          <w:rFonts w:ascii="Arial" w:hAnsi="Arial" w:cs="Arial"/>
          <w:b/>
          <w:sz w:val="28"/>
        </w:rPr>
        <w:t>Filtro abitacolo MEYLE-ORIGINAL per numerose applicazioni VAG</w:t>
      </w:r>
    </w:p>
    <w:p w:rsidR="003D52EA" w:rsidRPr="003D52EA" w:rsidRDefault="003D52EA" w:rsidP="003D52EA">
      <w:pPr>
        <w:numPr>
          <w:ilvl w:val="0"/>
          <w:numId w:val="10"/>
        </w:numPr>
        <w:spacing w:after="240"/>
        <w:ind w:left="357" w:hanging="357"/>
        <w:jc w:val="both"/>
        <w:rPr>
          <w:rFonts w:ascii="Arial" w:hAnsi="Arial" w:cs="Arial"/>
        </w:rPr>
      </w:pPr>
      <w:r w:rsidRPr="003D52EA">
        <w:rPr>
          <w:rFonts w:ascii="Arial" w:hAnsi="Arial" w:cs="Arial"/>
          <w:b/>
        </w:rPr>
        <w:t>Vantaggio tecnico: installazione semplificata e qualità garantita</w:t>
      </w:r>
    </w:p>
    <w:p w:rsidR="003D52EA" w:rsidRPr="003D52EA" w:rsidRDefault="003D52EA" w:rsidP="003D52EA">
      <w:pPr>
        <w:numPr>
          <w:ilvl w:val="0"/>
          <w:numId w:val="10"/>
        </w:numPr>
        <w:spacing w:after="240"/>
        <w:ind w:left="357" w:hanging="357"/>
        <w:jc w:val="both"/>
        <w:rPr>
          <w:rFonts w:ascii="Arial" w:hAnsi="Arial" w:cs="Arial"/>
          <w:b/>
        </w:rPr>
      </w:pPr>
      <w:r w:rsidRPr="003D52EA">
        <w:rPr>
          <w:rFonts w:ascii="Arial" w:hAnsi="Arial" w:cs="Arial"/>
          <w:b/>
        </w:rPr>
        <w:t>Gli automobilisti si proteggono dal polline, dai gas nocivi e dalle polveri sottili sostituendo regolarmente il filtro abitacolo</w:t>
      </w:r>
    </w:p>
    <w:p w:rsidR="003D52EA" w:rsidRPr="003D52EA" w:rsidRDefault="003D52EA" w:rsidP="003D52EA">
      <w:pPr>
        <w:autoSpaceDE w:val="0"/>
        <w:autoSpaceDN w:val="0"/>
        <w:adjustRightInd w:val="0"/>
        <w:spacing w:after="240" w:line="360" w:lineRule="auto"/>
        <w:jc w:val="both"/>
        <w:rPr>
          <w:rFonts w:ascii="Arial" w:hAnsi="Arial" w:cs="Arial"/>
          <w:b/>
        </w:rPr>
      </w:pPr>
      <w:r w:rsidRPr="003D52EA">
        <w:rPr>
          <w:rFonts w:ascii="Arial" w:hAnsi="Arial" w:cs="Arial"/>
          <w:b/>
          <w:u w:val="single"/>
        </w:rPr>
        <w:t>Amburgo, 07.03.2017.</w:t>
      </w:r>
      <w:r w:rsidRPr="003D52EA">
        <w:rPr>
          <w:rFonts w:ascii="Arial" w:hAnsi="Arial" w:cs="Arial"/>
          <w:b/>
          <w:color w:val="FF0000"/>
        </w:rPr>
        <w:t xml:space="preserve"> </w:t>
      </w:r>
      <w:r w:rsidRPr="003D52EA">
        <w:rPr>
          <w:rFonts w:ascii="Arial" w:hAnsi="Arial" w:cs="Arial"/>
          <w:b/>
        </w:rPr>
        <w:t>Agli automobilisti si raccomanda di cambiare almeno una volta all’anno il filtro abitacolo. Proprio nel periodo primaverile, quando inizia la stagione dei pollini, soprattutto gli allergici dovrebbero cambiare questi filtri nella loro vettura per minimizzare l’effetto polveri, gas ed erbe. La MEYLE AG offre un programma completo di filtri abitacolo di tutte le marche tradizionali. Per le diverse applicazioni VAG, quali ad esempio Audi A3 (modelli 2003 fino 2012), Seat Leon/Toledo (modelli 2004 fino 2010), Skoda Octavia II, Superb II e VW Golf V/Golf VI l’azienda tedesca dispone di un programma completo di filtri, nei quali l’installazione viene notevolmente semplificata grazie alla struttura del filtro meglio adattata e più flessibile rispetto al componente originale e, soprattutto, molto più sicura da eventuali rotture.</w:t>
      </w:r>
    </w:p>
    <w:p w:rsidR="003D52EA" w:rsidRPr="003D52EA" w:rsidRDefault="003D52EA" w:rsidP="003D52EA">
      <w:pPr>
        <w:autoSpaceDE w:val="0"/>
        <w:autoSpaceDN w:val="0"/>
        <w:adjustRightInd w:val="0"/>
        <w:spacing w:after="240" w:line="360" w:lineRule="auto"/>
        <w:jc w:val="both"/>
        <w:rPr>
          <w:rFonts w:ascii="Arial" w:hAnsi="Arial" w:cs="Arial"/>
        </w:rPr>
      </w:pPr>
      <w:r w:rsidRPr="003D52EA">
        <w:rPr>
          <w:rFonts w:ascii="Arial" w:hAnsi="Arial" w:cs="Arial"/>
        </w:rPr>
        <w:t>I filtri abitacolo impediscono la contaminazione dell’aria all’interno della vettura. Qualora la sostituzione non dovesse essere eseguita periodicamente, il filtro puo’ intasarsi permettendo l’ingresso nell’ abitacolo di aria contaminata. A causa dello smog sempre più crescente, particolarmente dannoso alla salute, è sempre più importante cambiare regolarmente il filtro abitacolo della propria vettura. E’ anche determinante installare un filtro dotato di materiale filtrante di alta qualità, come prescritto dal costruttore del veicolo ( carta, carbone attivo o un mix tra i 2 media )</w:t>
      </w:r>
    </w:p>
    <w:p w:rsidR="003D52EA" w:rsidRPr="003D52EA" w:rsidRDefault="003D52EA" w:rsidP="003D52EA">
      <w:pPr>
        <w:autoSpaceDE w:val="0"/>
        <w:autoSpaceDN w:val="0"/>
        <w:adjustRightInd w:val="0"/>
        <w:spacing w:after="240" w:line="360" w:lineRule="auto"/>
        <w:jc w:val="both"/>
        <w:rPr>
          <w:rFonts w:ascii="Arial" w:hAnsi="Arial" w:cs="Arial"/>
        </w:rPr>
      </w:pPr>
      <w:r w:rsidRPr="003D52EA">
        <w:rPr>
          <w:rFonts w:ascii="Arial" w:hAnsi="Arial" w:cs="Arial"/>
        </w:rPr>
        <w:t xml:space="preserve">I nuovi filtri abitacolo MEYLE-ORIGINAL n° 112 320 0011 sono disponibili per i numerosi modelli Audi, Seat, Skoda e VW e vengono forniti con le istruzioni di montaggio. Informazioni dettagliate relative alle applicazioni si possono trovare nel catalogo online al sito </w:t>
      </w:r>
      <w:hyperlink r:id="rId8" w:history="1">
        <w:r w:rsidRPr="003D52EA">
          <w:rPr>
            <w:rStyle w:val="Hyperlink"/>
            <w:rFonts w:ascii="Arial" w:hAnsi="Arial" w:cs="Arial"/>
          </w:rPr>
          <w:t>www.meyle.com</w:t>
        </w:r>
      </w:hyperlink>
      <w:r w:rsidRPr="003D52EA">
        <w:rPr>
          <w:rFonts w:ascii="Arial" w:hAnsi="Arial" w:cs="Arial"/>
        </w:rPr>
        <w:t xml:space="preserve">. </w:t>
      </w:r>
    </w:p>
    <w:p w:rsidR="00921F9A" w:rsidRPr="003D52EA" w:rsidRDefault="00921F9A" w:rsidP="00921F9A">
      <w:pPr>
        <w:jc w:val="both"/>
        <w:rPr>
          <w:rFonts w:ascii="Arial" w:hAnsi="Arial" w:cs="Arial"/>
          <w:sz w:val="18"/>
          <w:szCs w:val="18"/>
          <w:lang w:val="es-ES"/>
        </w:rPr>
      </w:pPr>
      <w:r w:rsidRPr="003D52EA">
        <w:rPr>
          <w:rFonts w:ascii="Arial" w:hAnsi="Arial" w:cs="Arial"/>
          <w:sz w:val="18"/>
          <w:szCs w:val="18"/>
          <w:lang w:val="it-IT"/>
        </w:rPr>
        <w:t xml:space="preserve">Potete scaricare i comunicati stampa e le fotografie dal sito </w:t>
      </w:r>
      <w:hyperlink r:id="rId9" w:history="1">
        <w:r w:rsidRPr="003D52EA">
          <w:rPr>
            <w:rStyle w:val="Hyperlink"/>
            <w:rFonts w:ascii="Arial" w:hAnsi="Arial" w:cs="Arial"/>
            <w:sz w:val="18"/>
            <w:szCs w:val="18"/>
            <w:lang w:val="it-IT"/>
          </w:rPr>
          <w:t>www.meyle.com</w:t>
        </w:r>
      </w:hyperlink>
      <w:r w:rsidRPr="003D52EA">
        <w:rPr>
          <w:rFonts w:ascii="Arial" w:hAnsi="Arial" w:cs="Arial"/>
          <w:sz w:val="18"/>
          <w:szCs w:val="18"/>
          <w:lang w:val="it-IT"/>
        </w:rPr>
        <w:t xml:space="preserve"> oppure richiederli in formato digitale. </w:t>
      </w:r>
      <w:r w:rsidRPr="003D52EA">
        <w:rPr>
          <w:rFonts w:ascii="Arial" w:hAnsi="Arial" w:cs="Arial"/>
          <w:sz w:val="18"/>
          <w:szCs w:val="18"/>
          <w:lang w:val="es-ES"/>
        </w:rPr>
        <w:t xml:space="preserve"> </w:t>
      </w:r>
    </w:p>
    <w:p w:rsidR="00921F9A" w:rsidRDefault="00921F9A" w:rsidP="00921F9A">
      <w:pPr>
        <w:jc w:val="both"/>
        <w:rPr>
          <w:rFonts w:ascii="Arial" w:hAnsi="Arial" w:cs="Arial"/>
          <w:sz w:val="18"/>
          <w:szCs w:val="18"/>
          <w:lang w:val="es-ES"/>
        </w:rPr>
      </w:pPr>
      <w:r w:rsidRPr="003D52EA">
        <w:rPr>
          <w:rFonts w:ascii="Arial" w:hAnsi="Arial" w:cs="Arial"/>
          <w:sz w:val="18"/>
          <w:szCs w:val="18"/>
          <w:lang w:val="it-IT"/>
        </w:rPr>
        <w:lastRenderedPageBreak/>
        <w:t>Contatti:</w:t>
      </w:r>
      <w:r w:rsidRPr="003D52EA">
        <w:rPr>
          <w:rFonts w:ascii="Arial" w:hAnsi="Arial" w:cs="Arial"/>
          <w:sz w:val="18"/>
          <w:szCs w:val="18"/>
          <w:lang w:val="es-ES"/>
        </w:rPr>
        <w:t xml:space="preserve"> </w:t>
      </w:r>
    </w:p>
    <w:p w:rsidR="003D52EA" w:rsidRPr="003D52EA" w:rsidRDefault="003D52EA" w:rsidP="00921F9A">
      <w:pPr>
        <w:jc w:val="both"/>
        <w:rPr>
          <w:rFonts w:ascii="Arial" w:hAnsi="Arial" w:cs="Arial"/>
          <w:sz w:val="18"/>
          <w:szCs w:val="18"/>
          <w:lang w:val="es-ES"/>
        </w:rPr>
      </w:pPr>
      <w:bookmarkStart w:id="0" w:name="_GoBack"/>
      <w:bookmarkEnd w:id="0"/>
    </w:p>
    <w:p w:rsidR="00921F9A" w:rsidRPr="003D52EA" w:rsidRDefault="00921F9A" w:rsidP="00921F9A">
      <w:pPr>
        <w:numPr>
          <w:ilvl w:val="0"/>
          <w:numId w:val="9"/>
        </w:numPr>
        <w:jc w:val="both"/>
        <w:rPr>
          <w:rFonts w:ascii="Arial" w:hAnsi="Arial" w:cs="Arial"/>
          <w:sz w:val="18"/>
          <w:szCs w:val="18"/>
        </w:rPr>
      </w:pPr>
      <w:r w:rsidRPr="003D52EA">
        <w:rPr>
          <w:rFonts w:ascii="Arial" w:hAnsi="Arial" w:cs="Arial"/>
          <w:sz w:val="18"/>
          <w:szCs w:val="18"/>
          <w:lang w:val="it-IT"/>
        </w:rPr>
        <w:t xml:space="preserve">Public Relations di Hoyningen-Huene, Marc von Bandemer, Tel: +49 40 416208-17, e-mail: </w:t>
      </w:r>
      <w:hyperlink r:id="rId10" w:history="1">
        <w:r w:rsidRPr="003D52EA">
          <w:rPr>
            <w:rStyle w:val="Hyperlink"/>
            <w:rFonts w:ascii="Arial" w:hAnsi="Arial" w:cs="Arial"/>
            <w:sz w:val="18"/>
            <w:szCs w:val="18"/>
            <w:lang w:val="it-IT"/>
          </w:rPr>
          <w:t>mvb@prvhh.de</w:t>
        </w:r>
      </w:hyperlink>
      <w:r w:rsidRPr="003D52EA">
        <w:rPr>
          <w:rFonts w:ascii="Arial" w:hAnsi="Arial" w:cs="Arial"/>
          <w:sz w:val="18"/>
          <w:szCs w:val="18"/>
          <w:lang w:val="it-IT"/>
        </w:rPr>
        <w:t xml:space="preserve"> </w:t>
      </w:r>
    </w:p>
    <w:p w:rsidR="00921F9A" w:rsidRPr="003D52EA" w:rsidRDefault="00AD5B31" w:rsidP="00921F9A">
      <w:pPr>
        <w:numPr>
          <w:ilvl w:val="0"/>
          <w:numId w:val="9"/>
        </w:numPr>
        <w:jc w:val="both"/>
        <w:rPr>
          <w:rFonts w:ascii="Arial" w:hAnsi="Arial" w:cs="Arial"/>
          <w:sz w:val="18"/>
          <w:szCs w:val="18"/>
        </w:rPr>
      </w:pPr>
      <w:r w:rsidRPr="003D52EA">
        <w:rPr>
          <w:rFonts w:ascii="Arial" w:hAnsi="Arial" w:cs="Arial"/>
          <w:sz w:val="18"/>
          <w:szCs w:val="18"/>
        </w:rPr>
        <w:t>MEYLE</w:t>
      </w:r>
      <w:r w:rsidR="00921F9A" w:rsidRPr="003D52EA">
        <w:rPr>
          <w:rFonts w:ascii="Arial" w:hAnsi="Arial" w:cs="Arial"/>
          <w:sz w:val="18"/>
          <w:szCs w:val="18"/>
        </w:rPr>
        <w:t xml:space="preserve"> AG, Annika Fuchs, Tel: +49 40 67506-519, E-Mail: </w:t>
      </w:r>
      <w:hyperlink r:id="rId11" w:history="1">
        <w:r w:rsidR="00921F9A" w:rsidRPr="003D52EA">
          <w:rPr>
            <w:rStyle w:val="Hyperlink"/>
            <w:rFonts w:ascii="Arial" w:hAnsi="Arial" w:cs="Arial"/>
            <w:sz w:val="18"/>
            <w:szCs w:val="18"/>
          </w:rPr>
          <w:t>annika.fuchs@meyle.com</w:t>
        </w:r>
      </w:hyperlink>
    </w:p>
    <w:p w:rsidR="0092441E" w:rsidRPr="003D52EA" w:rsidRDefault="0092441E" w:rsidP="000C5CAA">
      <w:pPr>
        <w:rPr>
          <w:rFonts w:ascii="Arial" w:hAnsi="Arial" w:cs="Arial"/>
        </w:rPr>
      </w:pPr>
    </w:p>
    <w:sectPr w:rsidR="0092441E" w:rsidRPr="003D52EA" w:rsidSect="000C5CAA">
      <w:headerReference w:type="even" r:id="rId12"/>
      <w:headerReference w:type="default" r:id="rId13"/>
      <w:footerReference w:type="default" r:id="rId14"/>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F12" w:rsidRDefault="00BE7F12">
      <w:r>
        <w:separator/>
      </w:r>
    </w:p>
  </w:endnote>
  <w:endnote w:type="continuationSeparator" w:id="0">
    <w:p w:rsidR="00BE7F12" w:rsidRDefault="00BE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AD5B31" w:rsidP="00AD5B31">
    <w:pPr>
      <w:pStyle w:val="Fuzeile"/>
      <w:ind w:firstLine="6372"/>
      <w:rPr>
        <w:rFonts w:ascii="TheSans-Plain" w:hAnsi="TheSans-Plain"/>
        <w:color w:val="AAAAAA"/>
        <w:sz w:val="15"/>
        <w:szCs w:val="15"/>
      </w:rPr>
    </w:pPr>
    <w:r>
      <w:rPr>
        <w:rFonts w:ascii="TheSans-Plain" w:hAnsi="TheSans-Plain"/>
        <w:noProof/>
        <w:color w:val="AAAAAA"/>
        <w:sz w:val="15"/>
        <w:szCs w:val="15"/>
      </w:rPr>
      <w:drawing>
        <wp:anchor distT="0" distB="0" distL="114300" distR="114300" simplePos="0" relativeHeight="251659264" behindDoc="1" locked="0" layoutInCell="1" allowOverlap="1">
          <wp:simplePos x="0" y="0"/>
          <wp:positionH relativeFrom="column">
            <wp:posOffset>80645</wp:posOffset>
          </wp:positionH>
          <wp:positionV relativeFrom="paragraph">
            <wp:posOffset>-644525</wp:posOffset>
          </wp:positionV>
          <wp:extent cx="5838825" cy="628650"/>
          <wp:effectExtent l="19050" t="0" r="9525" b="0"/>
          <wp:wrapNone/>
          <wp:docPr id="6"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srcRect/>
                  <a:stretch>
                    <a:fillRect/>
                  </a:stretch>
                </pic:blipFill>
                <pic:spPr bwMode="auto">
                  <a:xfrm>
                    <a:off x="0" y="0"/>
                    <a:ext cx="5838825" cy="628650"/>
                  </a:xfrm>
                  <a:prstGeom prst="rect">
                    <a:avLst/>
                  </a:prstGeom>
                  <a:noFill/>
                  <a:ln w="9525">
                    <a:noFill/>
                    <a:miter lim="800000"/>
                    <a:headEnd/>
                    <a:tailEnd/>
                  </a:ln>
                </pic:spPr>
              </pic:pic>
            </a:graphicData>
          </a:graphic>
        </wp:anchor>
      </w:drawing>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F12" w:rsidRDefault="00BE7F12">
      <w:r>
        <w:separator/>
      </w:r>
    </w:p>
  </w:footnote>
  <w:footnote w:type="continuationSeparator" w:id="0">
    <w:p w:rsidR="00BE7F12" w:rsidRDefault="00BE7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F7" w:rsidRDefault="00A00B21">
    <w:pPr>
      <w:pStyle w:val="Kopfzeile"/>
    </w:pPr>
    <w:r>
      <w:rPr>
        <w:noProof/>
      </w:rPr>
      <w:drawing>
        <wp:inline distT="0" distB="0" distL="0" distR="0">
          <wp:extent cx="5838825" cy="1057275"/>
          <wp:effectExtent l="19050" t="0" r="9525" b="0"/>
          <wp:docPr id="2" name="Bild 2"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fr"/>
                  <pic:cNvPicPr>
                    <a:picLocks noChangeAspect="1" noChangeArrowheads="1"/>
                  </pic:cNvPicPr>
                </pic:nvPicPr>
                <pic:blipFill>
                  <a:blip r:embed="rId1"/>
                  <a:srcRect/>
                  <a:stretch>
                    <a:fillRect/>
                  </a:stretch>
                </pic:blipFill>
                <pic:spPr bwMode="auto">
                  <a:xfrm>
                    <a:off x="0" y="0"/>
                    <a:ext cx="5838825" cy="1057275"/>
                  </a:xfrm>
                  <a:prstGeom prst="rect">
                    <a:avLst/>
                  </a:prstGeom>
                  <a:noFill/>
                  <a:ln w="9525">
                    <a:noFill/>
                    <a:miter lim="800000"/>
                    <a:headEnd/>
                    <a:tailEnd/>
                  </a:ln>
                </pic:spPr>
              </pic:pic>
            </a:graphicData>
          </a:graphic>
        </wp:inline>
      </w:drawing>
    </w:r>
    <w:r>
      <w:rPr>
        <w:noProof/>
      </w:rPr>
      <w:drawing>
        <wp:inline distT="0" distB="0" distL="0" distR="0">
          <wp:extent cx="5838825" cy="1057275"/>
          <wp:effectExtent l="19050" t="0" r="9525" b="0"/>
          <wp:docPr id="3" name="Bild 3"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pf_Pressemitteilung_fr"/>
                  <pic:cNvPicPr>
                    <a:picLocks noChangeAspect="1" noChangeArrowheads="1"/>
                  </pic:cNvPicPr>
                </pic:nvPicPr>
                <pic:blipFill>
                  <a:blip r:embed="rId1"/>
                  <a:srcRect/>
                  <a:stretch>
                    <a:fillRect/>
                  </a:stretch>
                </pic:blipFill>
                <pic:spPr bwMode="auto">
                  <a:xfrm>
                    <a:off x="0" y="0"/>
                    <a:ext cx="5838825" cy="10572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49" w:rsidRDefault="003D52EA" w:rsidP="006E7DF7">
    <w:pPr>
      <w:pStyle w:val="Kopfzeile"/>
      <w:tabs>
        <w:tab w:val="clear" w:pos="9072"/>
        <w:tab w:val="right" w:pos="9180"/>
      </w:tabs>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439420</wp:posOffset>
              </wp:positionH>
              <wp:positionV relativeFrom="paragraph">
                <wp:posOffset>714375</wp:posOffset>
              </wp:positionV>
              <wp:extent cx="2335530" cy="285750"/>
              <wp:effectExtent l="127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31" w:rsidRPr="0014413F" w:rsidRDefault="00AD5B31" w:rsidP="00AD5B31">
                          <w:pPr>
                            <w:rPr>
                              <w:rFonts w:ascii="Arial" w:hAnsi="Arial" w:cs="Arial"/>
                              <w:b/>
                              <w:color w:val="FFFFFF"/>
                              <w:szCs w:val="20"/>
                              <w:lang w:val="it-IT"/>
                            </w:rPr>
                          </w:pPr>
                          <w:r w:rsidRPr="0014413F">
                            <w:rPr>
                              <w:rFonts w:ascii="Arial" w:hAnsi="Arial" w:cs="Arial"/>
                              <w:b/>
                              <w:color w:val="FFFFFF"/>
                              <w:szCs w:val="20"/>
                              <w:lang w:val="it-IT"/>
                            </w:rPr>
                            <w:t>Comunicato stampa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4.6pt;margin-top:56.25pt;width:183.9pt;height:22.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QhtQIAALk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" filled="f" stroked="f">
              <v:textbox>
                <w:txbxContent>
                  <w:p w:rsidR="00AD5B31" w:rsidRPr="0014413F" w:rsidRDefault="00AD5B31" w:rsidP="00AD5B31">
                    <w:pPr>
                      <w:rPr>
                        <w:rFonts w:ascii="Arial" w:hAnsi="Arial" w:cs="Arial"/>
                        <w:b/>
                        <w:color w:val="FFFFFF"/>
                        <w:szCs w:val="20"/>
                        <w:lang w:val="it-IT"/>
                      </w:rPr>
                    </w:pPr>
                    <w:r w:rsidRPr="0014413F">
                      <w:rPr>
                        <w:rFonts w:ascii="Arial" w:hAnsi="Arial" w:cs="Arial"/>
                        <w:b/>
                        <w:color w:val="FFFFFF"/>
                        <w:szCs w:val="20"/>
                        <w:lang w:val="it-IT"/>
                      </w:rPr>
                      <w:t>Comunicato stampa</w:t>
                    </w:r>
                  </w:p>
                </w:txbxContent>
              </v:textbox>
            </v:shape>
          </w:pict>
        </mc:Fallback>
      </mc:AlternateContent>
    </w:r>
    <w:r w:rsidR="00AD5B31">
      <w:rPr>
        <w:noProof/>
      </w:rPr>
      <w:drawing>
        <wp:inline distT="0" distB="0" distL="0" distR="0">
          <wp:extent cx="5842635" cy="1046726"/>
          <wp:effectExtent l="19050" t="0" r="5715" b="0"/>
          <wp:docPr id="1"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srcRect/>
                  <a:stretch>
                    <a:fillRect/>
                  </a:stretch>
                </pic:blipFill>
                <pic:spPr bwMode="auto">
                  <a:xfrm>
                    <a:off x="0" y="0"/>
                    <a:ext cx="5842635" cy="1046726"/>
                  </a:xfrm>
                  <a:prstGeom prst="rect">
                    <a:avLst/>
                  </a:prstGeom>
                  <a:noFill/>
                  <a:ln w="9525">
                    <a:noFill/>
                    <a:miter lim="800000"/>
                    <a:headEnd/>
                    <a:tailEnd/>
                  </a:ln>
                </pic:spPr>
              </pic:pic>
            </a:graphicData>
          </a:graphic>
        </wp:inline>
      </w:drawing>
    </w:r>
    <w:r w:rsidR="00554749">
      <w:t xml:space="preserve">   </w:t>
    </w:r>
  </w:p>
  <w:p w:rsidR="00FE6307" w:rsidRDefault="00FE6307" w:rsidP="006E7DF7">
    <w:pPr>
      <w:pStyle w:val="Kopfzeile"/>
      <w:tabs>
        <w:tab w:val="clear" w:pos="9072"/>
        <w:tab w:val="right" w:pos="91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7D796A85"/>
    <w:multiLevelType w:val="hybridMultilevel"/>
    <w:tmpl w:val="5D34EC54"/>
    <w:lvl w:ilvl="0" w:tplc="D8CEE7CE">
      <w:start w:val="1"/>
      <w:numFmt w:val="decimal"/>
      <w:lvlText w:val="%1."/>
      <w:lvlJc w:val="left"/>
      <w:pPr>
        <w:tabs>
          <w:tab w:val="num" w:pos="720"/>
        </w:tabs>
        <w:ind w:left="720" w:hanging="360"/>
      </w:pPr>
      <w:rPr>
        <w:sz w:val="16"/>
        <w:szCs w:val="16"/>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5"/>
  </w:num>
  <w:num w:numId="2">
    <w:abstractNumId w:val="1"/>
  </w:num>
  <w:num w:numId="3">
    <w:abstractNumId w:val="5"/>
  </w:num>
  <w:num w:numId="4">
    <w:abstractNumId w:val="5"/>
  </w:num>
  <w:num w:numId="5">
    <w:abstractNumId w:val="0"/>
  </w:num>
  <w:num w:numId="6">
    <w:abstractNumId w:val="3"/>
  </w:num>
  <w:num w:numId="7">
    <w:abstractNumId w:val="4"/>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o:colormru v:ext="edit" colors="#004179,#f0f0f0,#4d749e"/>
      <o:colormenu v:ext="edit" fillcolor="white" strokecolor="#4d749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937BA"/>
    <w:rsid w:val="000A1B6B"/>
    <w:rsid w:val="000C5CAA"/>
    <w:rsid w:val="0010437D"/>
    <w:rsid w:val="001119AD"/>
    <w:rsid w:val="00111B91"/>
    <w:rsid w:val="00116783"/>
    <w:rsid w:val="00122CBA"/>
    <w:rsid w:val="0014413F"/>
    <w:rsid w:val="00176BE7"/>
    <w:rsid w:val="00191BBA"/>
    <w:rsid w:val="00195AC0"/>
    <w:rsid w:val="00195B75"/>
    <w:rsid w:val="001D1059"/>
    <w:rsid w:val="00245D24"/>
    <w:rsid w:val="0027204A"/>
    <w:rsid w:val="0028757A"/>
    <w:rsid w:val="002F3360"/>
    <w:rsid w:val="00307201"/>
    <w:rsid w:val="0032393B"/>
    <w:rsid w:val="00362ABC"/>
    <w:rsid w:val="003753BA"/>
    <w:rsid w:val="003D52EA"/>
    <w:rsid w:val="003E6AA2"/>
    <w:rsid w:val="003F07BB"/>
    <w:rsid w:val="00424C34"/>
    <w:rsid w:val="004358E9"/>
    <w:rsid w:val="004521AE"/>
    <w:rsid w:val="004933E9"/>
    <w:rsid w:val="004B7072"/>
    <w:rsid w:val="004D12B2"/>
    <w:rsid w:val="00506824"/>
    <w:rsid w:val="00521DC2"/>
    <w:rsid w:val="0053327C"/>
    <w:rsid w:val="00536EEA"/>
    <w:rsid w:val="00554749"/>
    <w:rsid w:val="00567CB7"/>
    <w:rsid w:val="00571F5B"/>
    <w:rsid w:val="005738DC"/>
    <w:rsid w:val="005A7A77"/>
    <w:rsid w:val="005B23F3"/>
    <w:rsid w:val="005B6FC5"/>
    <w:rsid w:val="005C255C"/>
    <w:rsid w:val="00617B81"/>
    <w:rsid w:val="00636535"/>
    <w:rsid w:val="00664F15"/>
    <w:rsid w:val="006720E7"/>
    <w:rsid w:val="00673170"/>
    <w:rsid w:val="0068648B"/>
    <w:rsid w:val="006B19D2"/>
    <w:rsid w:val="006D031E"/>
    <w:rsid w:val="006D56EE"/>
    <w:rsid w:val="006E2242"/>
    <w:rsid w:val="006E3860"/>
    <w:rsid w:val="006E5407"/>
    <w:rsid w:val="006E7DF7"/>
    <w:rsid w:val="006F2A80"/>
    <w:rsid w:val="00722DF7"/>
    <w:rsid w:val="0074150B"/>
    <w:rsid w:val="00747AE6"/>
    <w:rsid w:val="00753F44"/>
    <w:rsid w:val="007A1836"/>
    <w:rsid w:val="007E6462"/>
    <w:rsid w:val="007F0AA8"/>
    <w:rsid w:val="00826BED"/>
    <w:rsid w:val="00842227"/>
    <w:rsid w:val="008422C3"/>
    <w:rsid w:val="00847DDF"/>
    <w:rsid w:val="00852D89"/>
    <w:rsid w:val="00862B4F"/>
    <w:rsid w:val="00886212"/>
    <w:rsid w:val="008B198B"/>
    <w:rsid w:val="008B5BCC"/>
    <w:rsid w:val="008C4F16"/>
    <w:rsid w:val="00912D33"/>
    <w:rsid w:val="00921F9A"/>
    <w:rsid w:val="0092441E"/>
    <w:rsid w:val="009B499A"/>
    <w:rsid w:val="00A00B21"/>
    <w:rsid w:val="00A16605"/>
    <w:rsid w:val="00A57708"/>
    <w:rsid w:val="00A75ED9"/>
    <w:rsid w:val="00AD5B31"/>
    <w:rsid w:val="00B06F71"/>
    <w:rsid w:val="00B306E2"/>
    <w:rsid w:val="00BC35F8"/>
    <w:rsid w:val="00BD1F9A"/>
    <w:rsid w:val="00BE7F12"/>
    <w:rsid w:val="00BF6757"/>
    <w:rsid w:val="00CB3AB8"/>
    <w:rsid w:val="00CB50D0"/>
    <w:rsid w:val="00D07417"/>
    <w:rsid w:val="00D1714F"/>
    <w:rsid w:val="00D23B41"/>
    <w:rsid w:val="00D37266"/>
    <w:rsid w:val="00DA4A78"/>
    <w:rsid w:val="00E00280"/>
    <w:rsid w:val="00E533E9"/>
    <w:rsid w:val="00E72283"/>
    <w:rsid w:val="00EB23C7"/>
    <w:rsid w:val="00EB6FAC"/>
    <w:rsid w:val="00F33EC2"/>
    <w:rsid w:val="00F93B43"/>
    <w:rsid w:val="00FA6673"/>
    <w:rsid w:val="00FE6307"/>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004179,#f0f0f0,#4d749e"/>
      <o:colormenu v:ext="edit" fillcolor="white" strokecolor="#4d749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rsid w:val="00664F15"/>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64F15"/>
    <w:pPr>
      <w:tabs>
        <w:tab w:val="center" w:pos="4536"/>
        <w:tab w:val="right" w:pos="9072"/>
      </w:tabs>
    </w:pPr>
  </w:style>
  <w:style w:type="paragraph" w:styleId="Fuzeile">
    <w:name w:val="footer"/>
    <w:basedOn w:val="Standard"/>
    <w:rsid w:val="00664F15"/>
    <w:pPr>
      <w:tabs>
        <w:tab w:val="center" w:pos="4536"/>
        <w:tab w:val="right" w:pos="9072"/>
      </w:tabs>
    </w:pPr>
  </w:style>
  <w:style w:type="character" w:customStyle="1" w:styleId="berschrift1CharChar">
    <w:name w:val="Überschrift 1 Char Char"/>
    <w:basedOn w:val="Absatz-Standardschriftart"/>
    <w:rsid w:val="00664F15"/>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rsid w:val="00664F15"/>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664F15"/>
    <w:pPr>
      <w:ind w:left="360"/>
      <w:jc w:val="both"/>
    </w:pPr>
    <w:rPr>
      <w:rFonts w:ascii="TheSans-Plain" w:hAnsi="TheSans-Plain"/>
      <w:b/>
      <w:bCs/>
    </w:rPr>
  </w:style>
  <w:style w:type="character" w:styleId="Seitenzahl">
    <w:name w:val="page number"/>
    <w:basedOn w:val="Absatz-Standardschriftart"/>
    <w:rsid w:val="00664F15"/>
  </w:style>
  <w:style w:type="paragraph" w:styleId="Sprechblasentext">
    <w:name w:val="Balloon Text"/>
    <w:basedOn w:val="Standard"/>
    <w:link w:val="SprechblasentextZchn"/>
    <w:rsid w:val="00FE6307"/>
    <w:rPr>
      <w:rFonts w:ascii="Tahoma" w:hAnsi="Tahoma" w:cs="Tahoma"/>
      <w:sz w:val="16"/>
      <w:szCs w:val="16"/>
    </w:rPr>
  </w:style>
  <w:style w:type="character" w:customStyle="1" w:styleId="SprechblasentextZchn">
    <w:name w:val="Sprechblasentext Zchn"/>
    <w:basedOn w:val="Absatz-Standardschriftart"/>
    <w:link w:val="Sprechblasentext"/>
    <w:rsid w:val="00FE6307"/>
    <w:rPr>
      <w:rFonts w:ascii="Tahoma" w:hAnsi="Tahoma" w:cs="Tahoma"/>
      <w:sz w:val="16"/>
      <w:szCs w:val="16"/>
    </w:rPr>
  </w:style>
  <w:style w:type="character" w:styleId="Hyperlink">
    <w:name w:val="Hyperlink"/>
    <w:basedOn w:val="Absatz-Standardschriftart"/>
    <w:unhideWhenUsed/>
    <w:rsid w:val="00921F9A"/>
    <w:rPr>
      <w:color w:val="0000FF"/>
      <w:u w:val="single"/>
    </w:rPr>
  </w:style>
  <w:style w:type="paragraph" w:customStyle="1" w:styleId="xmsonormal">
    <w:name w:val="x_msonormal"/>
    <w:basedOn w:val="Standard"/>
    <w:rsid w:val="00921F9A"/>
    <w:pPr>
      <w:spacing w:before="100" w:beforeAutospacing="1" w:after="100" w:afterAutospacing="1"/>
    </w:pPr>
  </w:style>
  <w:style w:type="character" w:customStyle="1" w:styleId="x033494008-29112010">
    <w:name w:val="x_033494008-29112010"/>
    <w:rsid w:val="00921F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rsid w:val="00664F15"/>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64F15"/>
    <w:pPr>
      <w:tabs>
        <w:tab w:val="center" w:pos="4536"/>
        <w:tab w:val="right" w:pos="9072"/>
      </w:tabs>
    </w:pPr>
  </w:style>
  <w:style w:type="paragraph" w:styleId="Fuzeile">
    <w:name w:val="footer"/>
    <w:basedOn w:val="Standard"/>
    <w:rsid w:val="00664F15"/>
    <w:pPr>
      <w:tabs>
        <w:tab w:val="center" w:pos="4536"/>
        <w:tab w:val="right" w:pos="9072"/>
      </w:tabs>
    </w:pPr>
  </w:style>
  <w:style w:type="character" w:customStyle="1" w:styleId="berschrift1CharChar">
    <w:name w:val="Überschrift 1 Char Char"/>
    <w:basedOn w:val="Absatz-Standardschriftart"/>
    <w:rsid w:val="00664F15"/>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rsid w:val="00664F15"/>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664F15"/>
    <w:pPr>
      <w:ind w:left="360"/>
      <w:jc w:val="both"/>
    </w:pPr>
    <w:rPr>
      <w:rFonts w:ascii="TheSans-Plain" w:hAnsi="TheSans-Plain"/>
      <w:b/>
      <w:bCs/>
    </w:rPr>
  </w:style>
  <w:style w:type="character" w:styleId="Seitenzahl">
    <w:name w:val="page number"/>
    <w:basedOn w:val="Absatz-Standardschriftart"/>
    <w:rsid w:val="00664F15"/>
  </w:style>
  <w:style w:type="paragraph" w:styleId="Sprechblasentext">
    <w:name w:val="Balloon Text"/>
    <w:basedOn w:val="Standard"/>
    <w:link w:val="SprechblasentextZchn"/>
    <w:rsid w:val="00FE6307"/>
    <w:rPr>
      <w:rFonts w:ascii="Tahoma" w:hAnsi="Tahoma" w:cs="Tahoma"/>
      <w:sz w:val="16"/>
      <w:szCs w:val="16"/>
    </w:rPr>
  </w:style>
  <w:style w:type="character" w:customStyle="1" w:styleId="SprechblasentextZchn">
    <w:name w:val="Sprechblasentext Zchn"/>
    <w:basedOn w:val="Absatz-Standardschriftart"/>
    <w:link w:val="Sprechblasentext"/>
    <w:rsid w:val="00FE6307"/>
    <w:rPr>
      <w:rFonts w:ascii="Tahoma" w:hAnsi="Tahoma" w:cs="Tahoma"/>
      <w:sz w:val="16"/>
      <w:szCs w:val="16"/>
    </w:rPr>
  </w:style>
  <w:style w:type="character" w:styleId="Hyperlink">
    <w:name w:val="Hyperlink"/>
    <w:basedOn w:val="Absatz-Standardschriftart"/>
    <w:unhideWhenUsed/>
    <w:rsid w:val="00921F9A"/>
    <w:rPr>
      <w:color w:val="0000FF"/>
      <w:u w:val="single"/>
    </w:rPr>
  </w:style>
  <w:style w:type="paragraph" w:customStyle="1" w:styleId="xmsonormal">
    <w:name w:val="x_msonormal"/>
    <w:basedOn w:val="Standard"/>
    <w:rsid w:val="00921F9A"/>
    <w:pPr>
      <w:spacing w:before="100" w:beforeAutospacing="1" w:after="100" w:afterAutospacing="1"/>
    </w:pPr>
  </w:style>
  <w:style w:type="character" w:customStyle="1" w:styleId="x033494008-29112010">
    <w:name w:val="x_033494008-29112010"/>
    <w:rsid w:val="0092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14371">
      <w:bodyDiv w:val="1"/>
      <w:marLeft w:val="0"/>
      <w:marRight w:val="0"/>
      <w:marTop w:val="0"/>
      <w:marBottom w:val="0"/>
      <w:divBdr>
        <w:top w:val="none" w:sz="0" w:space="0" w:color="auto"/>
        <w:left w:val="none" w:sz="0" w:space="0" w:color="auto"/>
        <w:bottom w:val="none" w:sz="0" w:space="0" w:color="auto"/>
        <w:right w:val="none" w:sz="0" w:space="0" w:color="auto"/>
      </w:divBdr>
    </w:div>
    <w:div w:id="207998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nika.fuchs@meyl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vb@prvhh.de" TargetMode="External"/><Relationship Id="rId4" Type="http://schemas.openxmlformats.org/officeDocument/2006/relationships/settings" Target="settings.xml"/><Relationship Id="rId9" Type="http://schemas.openxmlformats.org/officeDocument/2006/relationships/hyperlink" Target="http://www.meyle.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2115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dc:creator>
  <cp:lastModifiedBy>Galina Ponomareva</cp:lastModifiedBy>
  <cp:revision>2</cp:revision>
  <cp:lastPrinted>2009-12-16T11:09:00Z</cp:lastPrinted>
  <dcterms:created xsi:type="dcterms:W3CDTF">2017-03-06T15:11:00Z</dcterms:created>
  <dcterms:modified xsi:type="dcterms:W3CDTF">2017-03-06T15:11:00Z</dcterms:modified>
</cp:coreProperties>
</file>