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220" w:rsidRDefault="00540220" w:rsidP="00540220">
      <w:pPr>
        <w:spacing w:after="240"/>
        <w:jc w:val="both"/>
        <w:rPr>
          <w:rStyle w:val="x033494008-29112010"/>
          <w:rFonts w:ascii="Arial" w:hAnsi="Arial" w:cs="Arial"/>
          <w:b/>
          <w:sz w:val="28"/>
          <w:szCs w:val="28"/>
        </w:rPr>
      </w:pPr>
      <w:proofErr w:type="spellStart"/>
      <w:r>
        <w:rPr>
          <w:rStyle w:val="x033494008-29112010"/>
          <w:rFonts w:ascii="Arial" w:eastAsia="SimSun" w:hAnsi="Arial" w:cs="Arial" w:hint="eastAsia"/>
          <w:b/>
          <w:sz w:val="28"/>
        </w:rPr>
        <w:t>新品：适用于路虎的</w:t>
      </w:r>
      <w:proofErr w:type="spellEnd"/>
      <w:r>
        <w:rPr>
          <w:rStyle w:val="x033494008-29112010"/>
          <w:rFonts w:ascii="Arial" w:eastAsia="SimSun" w:hAnsi="Arial" w:cs="Arial"/>
          <w:b/>
          <w:sz w:val="28"/>
        </w:rPr>
        <w:t xml:space="preserve"> MEYLE-HD </w:t>
      </w:r>
      <w:proofErr w:type="spellStart"/>
      <w:r>
        <w:rPr>
          <w:rStyle w:val="x033494008-29112010"/>
          <w:rFonts w:ascii="Arial" w:eastAsia="SimSun" w:hAnsi="Arial" w:cs="Arial" w:hint="eastAsia"/>
          <w:b/>
          <w:sz w:val="28"/>
        </w:rPr>
        <w:t>控制臂</w:t>
      </w:r>
      <w:proofErr w:type="spellEnd"/>
    </w:p>
    <w:p w:rsidR="00540220" w:rsidRPr="00540220" w:rsidRDefault="00540220" w:rsidP="00540220">
      <w:pPr>
        <w:spacing w:after="240"/>
        <w:jc w:val="both"/>
        <w:rPr>
          <w:b/>
        </w:rPr>
      </w:pPr>
      <w:proofErr w:type="spellStart"/>
      <w:r w:rsidRPr="00540220">
        <w:rPr>
          <w:rFonts w:ascii="Arial" w:eastAsia="SimSun" w:hAnsi="Arial" w:cs="Arial" w:hint="eastAsia"/>
          <w:b/>
        </w:rPr>
        <w:t>通过高品质的全橡胶衬套以及改良过的设计延长使用寿命</w:t>
      </w:r>
      <w:proofErr w:type="spellEnd"/>
      <w:r w:rsidRPr="00540220">
        <w:rPr>
          <w:rFonts w:ascii="Arial" w:eastAsia="SimSun" w:hAnsi="Arial" w:cs="Arial"/>
          <w:b/>
        </w:rPr>
        <w:t xml:space="preserve"> </w:t>
      </w:r>
    </w:p>
    <w:p w:rsidR="00540220" w:rsidRDefault="00540220" w:rsidP="00540220">
      <w:pPr>
        <w:autoSpaceDE w:val="0"/>
        <w:autoSpaceDN w:val="0"/>
        <w:adjustRightInd w:val="0"/>
        <w:spacing w:after="240" w:line="360" w:lineRule="auto"/>
        <w:jc w:val="both"/>
        <w:rPr>
          <w:rFonts w:ascii="Arial" w:hAnsi="Arial" w:cs="Arial"/>
          <w:b/>
        </w:rPr>
      </w:pPr>
      <w:r>
        <w:rPr>
          <w:rFonts w:ascii="Arial" w:eastAsia="SimSun" w:hAnsi="Arial" w:cs="Arial" w:hint="eastAsia"/>
          <w:b/>
        </w:rPr>
        <w:t>在</w:t>
      </w:r>
      <w:r>
        <w:rPr>
          <w:rFonts w:ascii="Arial" w:eastAsia="SimSun" w:hAnsi="Arial" w:cs="Arial"/>
          <w:b/>
        </w:rPr>
        <w:t xml:space="preserve"> 201</w:t>
      </w:r>
      <w:r>
        <w:rPr>
          <w:rFonts w:ascii="Arial" w:eastAsia="SimSun" w:hAnsi="Arial" w:cs="Arial"/>
          <w:b/>
        </w:rPr>
        <w:t>7</w:t>
      </w:r>
      <w:r>
        <w:rPr>
          <w:rFonts w:ascii="Arial" w:eastAsia="SimSun" w:hAnsi="Arial" w:cs="Arial"/>
          <w:b/>
        </w:rPr>
        <w:t xml:space="preserve"> </w:t>
      </w:r>
      <w:proofErr w:type="spellStart"/>
      <w:r>
        <w:rPr>
          <w:rFonts w:ascii="Arial" w:eastAsia="SimSun" w:hAnsi="Arial" w:cs="Arial" w:hint="eastAsia"/>
          <w:b/>
        </w:rPr>
        <w:t>年的法兰克福汽车零配件、维修检测诊断设备及服务用品的展览会上，沃尔夫葛纳汽车部件股份公司展示了其为路虎车型研发的一系列</w:t>
      </w:r>
      <w:proofErr w:type="spellEnd"/>
      <w:r>
        <w:rPr>
          <w:rFonts w:ascii="Arial" w:eastAsia="SimSun" w:hAnsi="Arial" w:cs="Arial"/>
          <w:b/>
        </w:rPr>
        <w:t xml:space="preserve"> MEYLE-HD </w:t>
      </w:r>
      <w:proofErr w:type="spellStart"/>
      <w:r>
        <w:rPr>
          <w:rFonts w:ascii="Arial" w:eastAsia="SimSun" w:hAnsi="Arial" w:cs="Arial" w:hint="eastAsia"/>
          <w:b/>
        </w:rPr>
        <w:t>控制臂。由于在原装液压衬套的基础上</w:t>
      </w:r>
      <w:r>
        <w:rPr>
          <w:rFonts w:ascii="Arial" w:eastAsia="SimSun" w:hAnsi="Arial" w:cs="Arial"/>
          <w:b/>
        </w:rPr>
        <w:t>,</w:t>
      </w:r>
      <w:r>
        <w:rPr>
          <w:rFonts w:ascii="Arial" w:eastAsia="SimSun" w:hAnsi="Arial" w:cs="Arial" w:hint="eastAsia"/>
          <w:b/>
        </w:rPr>
        <w:t>研发改良使用了全橡胶衬套，</w:t>
      </w:r>
      <w:r>
        <w:rPr>
          <w:rFonts w:ascii="Arial" w:eastAsia="SimSun" w:hAnsi="Arial" w:cs="Arial"/>
          <w:b/>
        </w:rPr>
        <w:t>MEYLE-HD</w:t>
      </w:r>
      <w:proofErr w:type="spellEnd"/>
      <w:r>
        <w:rPr>
          <w:rFonts w:ascii="Arial" w:eastAsia="SimSun" w:hAnsi="Arial" w:cs="Arial"/>
          <w:b/>
        </w:rPr>
        <w:t xml:space="preserve"> </w:t>
      </w:r>
      <w:proofErr w:type="spellStart"/>
      <w:r>
        <w:rPr>
          <w:rFonts w:ascii="Arial" w:eastAsia="SimSun" w:hAnsi="Arial" w:cs="Arial" w:hint="eastAsia"/>
          <w:b/>
        </w:rPr>
        <w:t>控制臂相较于</w:t>
      </w:r>
      <w:proofErr w:type="spellEnd"/>
      <w:r>
        <w:rPr>
          <w:rFonts w:ascii="Arial" w:eastAsia="SimSun" w:hAnsi="Arial" w:cs="Arial"/>
          <w:b/>
        </w:rPr>
        <w:t xml:space="preserve"> OE </w:t>
      </w:r>
      <w:proofErr w:type="spellStart"/>
      <w:r>
        <w:rPr>
          <w:rFonts w:ascii="Arial" w:eastAsia="SimSun" w:hAnsi="Arial" w:cs="Arial" w:hint="eastAsia"/>
          <w:b/>
        </w:rPr>
        <w:t>版本拥有更长的使用寿命。另一项优势：所有</w:t>
      </w:r>
      <w:proofErr w:type="spellEnd"/>
      <w:r>
        <w:rPr>
          <w:rFonts w:ascii="Arial" w:eastAsia="SimSun" w:hAnsi="Arial" w:cs="Arial"/>
          <w:b/>
        </w:rPr>
        <w:t xml:space="preserve"> MEYLE-HD </w:t>
      </w:r>
      <w:proofErr w:type="spellStart"/>
      <w:r>
        <w:rPr>
          <w:rFonts w:ascii="Arial" w:eastAsia="SimSun" w:hAnsi="Arial" w:cs="Arial" w:hint="eastAsia"/>
          <w:b/>
        </w:rPr>
        <w:t>零部件均享受四年质保</w:t>
      </w:r>
      <w:proofErr w:type="spellEnd"/>
      <w:r>
        <w:rPr>
          <w:rFonts w:ascii="Arial" w:eastAsia="SimSun" w:hAnsi="Arial" w:cs="Arial" w:hint="eastAsia"/>
          <w:b/>
        </w:rPr>
        <w:t>。</w:t>
      </w:r>
      <w:r>
        <w:rPr>
          <w:rFonts w:ascii="Arial" w:eastAsia="SimSun" w:hAnsi="Arial" w:cs="Arial"/>
          <w:b/>
        </w:rPr>
        <w:t xml:space="preserve"> </w:t>
      </w:r>
    </w:p>
    <w:p w:rsidR="00540220" w:rsidRDefault="00540220" w:rsidP="00540220">
      <w:pPr>
        <w:autoSpaceDE w:val="0"/>
        <w:autoSpaceDN w:val="0"/>
        <w:adjustRightInd w:val="0"/>
        <w:spacing w:after="240" w:line="360" w:lineRule="auto"/>
        <w:jc w:val="both"/>
        <w:rPr>
          <w:rFonts w:ascii="Arial" w:hAnsi="Arial" w:cs="Arial"/>
        </w:rPr>
      </w:pPr>
      <w:proofErr w:type="spellStart"/>
      <w:r>
        <w:rPr>
          <w:rFonts w:ascii="Arial" w:eastAsia="SimSun" w:hAnsi="Arial" w:cs="Arial" w:hint="eastAsia"/>
        </w:rPr>
        <w:t>控制臂常常因为液压衬套提前磨损而缩短了使用寿命。因此，这家汉堡制造商扩充了产品种类，为路虎全新研发了六款</w:t>
      </w:r>
      <w:proofErr w:type="spellEnd"/>
      <w:r>
        <w:rPr>
          <w:rFonts w:ascii="Arial" w:eastAsia="SimSun" w:hAnsi="Arial" w:cs="Arial"/>
        </w:rPr>
        <w:t xml:space="preserve"> MEYLE-HD </w:t>
      </w:r>
      <w:proofErr w:type="spellStart"/>
      <w:r>
        <w:rPr>
          <w:rFonts w:ascii="Arial" w:eastAsia="SimSun" w:hAnsi="Arial" w:cs="Arial" w:hint="eastAsia"/>
        </w:rPr>
        <w:t>控制臂。在这六款新品上，</w:t>
      </w:r>
      <w:r>
        <w:rPr>
          <w:rFonts w:ascii="Arial" w:eastAsia="SimSun" w:hAnsi="Arial" w:cs="Arial"/>
        </w:rPr>
        <w:t>MEYLE</w:t>
      </w:r>
      <w:proofErr w:type="spellEnd"/>
      <w:r>
        <w:rPr>
          <w:rFonts w:ascii="Arial" w:eastAsia="SimSun" w:hAnsi="Arial" w:cs="Arial"/>
        </w:rPr>
        <w:t xml:space="preserve"> </w:t>
      </w:r>
      <w:proofErr w:type="spellStart"/>
      <w:r>
        <w:rPr>
          <w:rFonts w:ascii="Arial" w:eastAsia="SimSun" w:hAnsi="Arial" w:cs="Arial" w:hint="eastAsia"/>
        </w:rPr>
        <w:t>工程师将原装液压衬套换成了符合</w:t>
      </w:r>
      <w:proofErr w:type="spellEnd"/>
      <w:r>
        <w:rPr>
          <w:rFonts w:ascii="Arial" w:eastAsia="SimSun" w:hAnsi="Arial" w:cs="Arial"/>
        </w:rPr>
        <w:t xml:space="preserve"> MEYLE-HD </w:t>
      </w:r>
      <w:proofErr w:type="spellStart"/>
      <w:r>
        <w:rPr>
          <w:rFonts w:ascii="Arial" w:eastAsia="SimSun" w:hAnsi="Arial" w:cs="Arial" w:hint="eastAsia"/>
        </w:rPr>
        <w:t>品质的全橡胶衬套。选材上使用了高品质的橡胶原材料</w:t>
      </w:r>
      <w:proofErr w:type="spellEnd"/>
      <w:r>
        <w:rPr>
          <w:rFonts w:ascii="Arial" w:eastAsia="SimSun" w:hAnsi="Arial" w:cs="Arial"/>
        </w:rPr>
        <w:t xml:space="preserve"> - </w:t>
      </w:r>
      <w:r>
        <w:rPr>
          <w:rFonts w:ascii="Arial" w:eastAsia="SimSun" w:hAnsi="Arial" w:cs="Arial" w:hint="eastAsia"/>
        </w:rPr>
        <w:t>它们在拉伸和压力作用下发生弹性变形，并可以重新恢复至初始形状；同时在设计上进行了改良，从而使</w:t>
      </w:r>
      <w:r>
        <w:rPr>
          <w:rFonts w:ascii="Arial" w:eastAsia="SimSun" w:hAnsi="Arial" w:cs="Arial"/>
        </w:rPr>
        <w:t>MEYLE-HD</w:t>
      </w:r>
      <w:r>
        <w:rPr>
          <w:rFonts w:ascii="Arial" w:eastAsia="SimSun" w:hAnsi="Arial" w:cs="Arial" w:hint="eastAsia"/>
        </w:rPr>
        <w:t>控制臂的使用寿命相较于</w:t>
      </w:r>
      <w:r>
        <w:rPr>
          <w:rFonts w:ascii="Arial" w:eastAsia="SimSun" w:hAnsi="Arial" w:cs="Arial"/>
        </w:rPr>
        <w:t xml:space="preserve"> OE </w:t>
      </w:r>
      <w:proofErr w:type="spellStart"/>
      <w:r>
        <w:rPr>
          <w:rFonts w:ascii="Arial" w:eastAsia="SimSun" w:hAnsi="Arial" w:cs="Arial" w:hint="eastAsia"/>
        </w:rPr>
        <w:t>版本得到明显延长</w:t>
      </w:r>
      <w:proofErr w:type="spellEnd"/>
      <w:r>
        <w:rPr>
          <w:rFonts w:ascii="Arial" w:eastAsia="SimSun" w:hAnsi="Arial" w:cs="Arial" w:hint="eastAsia"/>
        </w:rPr>
        <w:t>。</w:t>
      </w:r>
    </w:p>
    <w:p w:rsidR="00540220" w:rsidRDefault="00540220" w:rsidP="00540220">
      <w:pPr>
        <w:autoSpaceDE w:val="0"/>
        <w:autoSpaceDN w:val="0"/>
        <w:adjustRightInd w:val="0"/>
        <w:spacing w:after="240" w:line="360" w:lineRule="auto"/>
        <w:jc w:val="both"/>
        <w:rPr>
          <w:rFonts w:ascii="Arial" w:hAnsi="Arial" w:cs="Arial"/>
        </w:rPr>
      </w:pPr>
      <w:proofErr w:type="spellStart"/>
      <w:r>
        <w:rPr>
          <w:rFonts w:ascii="Arial" w:eastAsia="SimSun" w:hAnsi="Arial" w:cs="Arial" w:hint="eastAsia"/>
        </w:rPr>
        <w:t>全新</w:t>
      </w:r>
      <w:proofErr w:type="spellEnd"/>
      <w:r>
        <w:rPr>
          <w:rFonts w:ascii="Arial" w:eastAsia="SimSun" w:hAnsi="Arial" w:cs="Arial"/>
        </w:rPr>
        <w:t xml:space="preserve"> MEYLE-HD </w:t>
      </w:r>
      <w:proofErr w:type="spellStart"/>
      <w:r>
        <w:rPr>
          <w:rFonts w:ascii="Arial" w:eastAsia="SimSun" w:hAnsi="Arial" w:cs="Arial" w:hint="eastAsia"/>
        </w:rPr>
        <w:t>控制臂用于自</w:t>
      </w:r>
      <w:proofErr w:type="spellEnd"/>
      <w:r>
        <w:rPr>
          <w:rFonts w:ascii="Arial" w:eastAsia="SimSun" w:hAnsi="Arial" w:cs="Arial"/>
        </w:rPr>
        <w:t xml:space="preserve"> 2004 </w:t>
      </w:r>
      <w:proofErr w:type="spellStart"/>
      <w:r>
        <w:rPr>
          <w:rFonts w:ascii="Arial" w:eastAsia="SimSun" w:hAnsi="Arial" w:cs="Arial" w:hint="eastAsia"/>
        </w:rPr>
        <w:t>年款起的路虎发现三车型以及自</w:t>
      </w:r>
      <w:proofErr w:type="spellEnd"/>
      <w:r>
        <w:rPr>
          <w:rFonts w:ascii="Arial" w:eastAsia="SimSun" w:hAnsi="Arial" w:cs="Arial"/>
        </w:rPr>
        <w:t xml:space="preserve"> 2005 </w:t>
      </w:r>
      <w:proofErr w:type="spellStart"/>
      <w:r>
        <w:rPr>
          <w:rFonts w:ascii="Arial" w:eastAsia="SimSun" w:hAnsi="Arial" w:cs="Arial" w:hint="eastAsia"/>
        </w:rPr>
        <w:t>年款起的揽胜运动版车型，即刻</w:t>
      </w:r>
      <w:proofErr w:type="spellEnd"/>
      <w:r>
        <w:rPr>
          <w:rFonts w:ascii="Arial" w:eastAsia="SimSun" w:hAnsi="Arial" w:cs="Arial"/>
          <w:color w:val="FF0000"/>
        </w:rPr>
        <w:t xml:space="preserve"> </w:t>
      </w:r>
      <w:proofErr w:type="spellStart"/>
      <w:r>
        <w:rPr>
          <w:rFonts w:ascii="Arial" w:eastAsia="SimSun" w:hAnsi="Arial" w:cs="Arial" w:hint="eastAsia"/>
        </w:rPr>
        <w:t>就能通过下列</w:t>
      </w:r>
      <w:proofErr w:type="spellEnd"/>
      <w:r>
        <w:rPr>
          <w:rFonts w:ascii="Arial" w:eastAsia="SimSun" w:hAnsi="Arial" w:cs="Arial"/>
        </w:rPr>
        <w:t xml:space="preserve"> MEYLE </w:t>
      </w:r>
      <w:proofErr w:type="spellStart"/>
      <w:r>
        <w:rPr>
          <w:rFonts w:ascii="Arial" w:eastAsia="SimSun" w:hAnsi="Arial" w:cs="Arial" w:hint="eastAsia"/>
        </w:rPr>
        <w:t>编号购得</w:t>
      </w:r>
      <w:proofErr w:type="spellEnd"/>
      <w:r>
        <w:rPr>
          <w:rFonts w:ascii="Arial" w:eastAsia="SimSun" w:hAnsi="Arial" w:cs="Arial" w:hint="eastAsia"/>
        </w:rPr>
        <w:t>：</w:t>
      </w:r>
      <w:r>
        <w:rPr>
          <w:rFonts w:ascii="Arial" w:eastAsia="SimSun" w:hAnsi="Arial" w:cs="Arial"/>
        </w:rPr>
        <w:t xml:space="preserve"> </w:t>
      </w:r>
    </w:p>
    <w:p w:rsidR="00540220" w:rsidRPr="00540220" w:rsidRDefault="00540220" w:rsidP="00540220">
      <w:pPr>
        <w:pStyle w:val="Listenabsatz"/>
        <w:numPr>
          <w:ilvl w:val="0"/>
          <w:numId w:val="11"/>
        </w:numPr>
        <w:autoSpaceDE w:val="0"/>
        <w:autoSpaceDN w:val="0"/>
        <w:adjustRightInd w:val="0"/>
        <w:spacing w:after="240" w:line="360" w:lineRule="auto"/>
        <w:rPr>
          <w:rFonts w:ascii="Arial" w:hAnsi="Arial" w:cs="Arial"/>
          <w:lang w:val="pl-PL"/>
        </w:rPr>
      </w:pPr>
      <w:r w:rsidRPr="00540220">
        <w:rPr>
          <w:rFonts w:ascii="Arial" w:eastAsia="SimSun" w:hAnsi="Arial" w:cs="Arial"/>
          <w:lang w:val="pl-PL"/>
        </w:rPr>
        <w:t xml:space="preserve">53-16 050 0000/HD </w:t>
      </w:r>
      <w:r w:rsidRPr="00540220">
        <w:rPr>
          <w:rFonts w:ascii="Arial" w:eastAsia="SimSun" w:hAnsi="Arial" w:cs="Arial" w:hint="eastAsia"/>
        </w:rPr>
        <w:t>和</w:t>
      </w:r>
      <w:r w:rsidRPr="00540220">
        <w:rPr>
          <w:rFonts w:ascii="Arial" w:eastAsia="SimSun" w:hAnsi="Arial" w:cs="Arial"/>
          <w:lang w:val="pl-PL"/>
        </w:rPr>
        <w:t xml:space="preserve"> 53-16 050 0001/HD</w:t>
      </w:r>
      <w:r w:rsidRPr="00540220">
        <w:rPr>
          <w:rFonts w:ascii="Arial" w:eastAsia="SimSun" w:hAnsi="Arial" w:cs="Arial" w:hint="eastAsia"/>
          <w:lang w:val="pl-PL"/>
        </w:rPr>
        <w:t>：</w:t>
      </w:r>
      <w:r w:rsidRPr="00540220">
        <w:rPr>
          <w:rFonts w:ascii="Arial" w:eastAsia="SimSun" w:hAnsi="Arial" w:cs="Arial" w:hint="eastAsia"/>
        </w:rPr>
        <w:t>自</w:t>
      </w:r>
      <w:r w:rsidRPr="00540220">
        <w:rPr>
          <w:rFonts w:ascii="Arial" w:eastAsia="SimSun" w:hAnsi="Arial" w:cs="Arial"/>
          <w:lang w:val="pl-PL"/>
        </w:rPr>
        <w:t xml:space="preserve"> 2005 </w:t>
      </w:r>
      <w:proofErr w:type="spellStart"/>
      <w:r>
        <w:rPr>
          <w:rFonts w:ascii="Arial" w:eastAsia="SimSun" w:hAnsi="Arial" w:cs="Arial" w:hint="eastAsia"/>
        </w:rPr>
        <w:t>年款起的揽胜运动版车</w:t>
      </w:r>
      <w:proofErr w:type="spellEnd"/>
    </w:p>
    <w:p w:rsidR="00540220" w:rsidRDefault="00540220" w:rsidP="00540220">
      <w:pPr>
        <w:pStyle w:val="Listenabsatz"/>
        <w:numPr>
          <w:ilvl w:val="0"/>
          <w:numId w:val="11"/>
        </w:numPr>
        <w:autoSpaceDE w:val="0"/>
        <w:autoSpaceDN w:val="0"/>
        <w:adjustRightInd w:val="0"/>
        <w:spacing w:after="240" w:line="360" w:lineRule="auto"/>
        <w:rPr>
          <w:rFonts w:ascii="Arial" w:hAnsi="Arial" w:cs="Arial"/>
          <w:lang w:val="pl-PL"/>
        </w:rPr>
      </w:pPr>
      <w:r w:rsidRPr="00540220">
        <w:rPr>
          <w:rFonts w:ascii="Arial" w:eastAsia="SimSun" w:hAnsi="Arial" w:cs="Arial"/>
          <w:lang w:val="pl-PL"/>
        </w:rPr>
        <w:t xml:space="preserve">53-16 050 0009/HD </w:t>
      </w:r>
      <w:r w:rsidRPr="00540220">
        <w:rPr>
          <w:rFonts w:ascii="Arial" w:eastAsia="SimSun" w:hAnsi="Arial" w:cs="Arial" w:hint="eastAsia"/>
        </w:rPr>
        <w:t>和</w:t>
      </w:r>
      <w:r w:rsidRPr="00540220">
        <w:rPr>
          <w:rFonts w:ascii="Arial" w:eastAsia="SimSun" w:hAnsi="Arial" w:cs="Arial"/>
          <w:lang w:val="pl-PL"/>
        </w:rPr>
        <w:t xml:space="preserve"> 53-16 050 0010/HD</w:t>
      </w:r>
      <w:r w:rsidRPr="00540220">
        <w:rPr>
          <w:rFonts w:ascii="Arial" w:eastAsia="SimSun" w:hAnsi="Arial" w:cs="Arial" w:hint="eastAsia"/>
          <w:lang w:val="pl-PL"/>
        </w:rPr>
        <w:t>：</w:t>
      </w:r>
      <w:proofErr w:type="spellStart"/>
      <w:r w:rsidRPr="00540220">
        <w:rPr>
          <w:rFonts w:ascii="Arial" w:eastAsia="SimSun" w:hAnsi="Arial" w:cs="Arial" w:hint="eastAsia"/>
        </w:rPr>
        <w:t>路虎</w:t>
      </w:r>
      <w:proofErr w:type="spellEnd"/>
      <w:r w:rsidRPr="00540220">
        <w:rPr>
          <w:rFonts w:ascii="Arial" w:eastAsia="SimSun" w:hAnsi="Arial" w:cs="Arial"/>
          <w:lang w:val="pl-PL"/>
        </w:rPr>
        <w:t xml:space="preserve"> </w:t>
      </w:r>
      <w:proofErr w:type="spellStart"/>
      <w:r w:rsidRPr="00540220">
        <w:rPr>
          <w:rFonts w:ascii="Arial" w:eastAsia="SimSun" w:hAnsi="Arial" w:cs="Arial" w:hint="eastAsia"/>
        </w:rPr>
        <w:t>发现三</w:t>
      </w:r>
      <w:proofErr w:type="spellEnd"/>
    </w:p>
    <w:p w:rsidR="00540220" w:rsidRPr="00540220" w:rsidRDefault="00540220" w:rsidP="00540220">
      <w:pPr>
        <w:pStyle w:val="Listenabsatz"/>
        <w:numPr>
          <w:ilvl w:val="0"/>
          <w:numId w:val="11"/>
        </w:numPr>
        <w:autoSpaceDE w:val="0"/>
        <w:autoSpaceDN w:val="0"/>
        <w:adjustRightInd w:val="0"/>
        <w:spacing w:after="240" w:line="360" w:lineRule="auto"/>
        <w:rPr>
          <w:rFonts w:ascii="Arial" w:hAnsi="Arial" w:cs="Arial"/>
          <w:lang w:val="pl-PL"/>
        </w:rPr>
      </w:pPr>
      <w:r w:rsidRPr="00540220">
        <w:rPr>
          <w:rFonts w:ascii="Arial" w:eastAsia="SimSun" w:hAnsi="Arial" w:cs="Arial"/>
          <w:lang w:val="pl-PL"/>
        </w:rPr>
        <w:t xml:space="preserve">53-16 050 0011/HD </w:t>
      </w:r>
      <w:r w:rsidRPr="00540220">
        <w:rPr>
          <w:rFonts w:ascii="Arial" w:eastAsia="SimSun" w:hAnsi="Arial" w:cs="Arial" w:hint="eastAsia"/>
        </w:rPr>
        <w:t>和</w:t>
      </w:r>
      <w:r w:rsidRPr="00540220">
        <w:rPr>
          <w:rFonts w:ascii="Arial" w:eastAsia="SimSun" w:hAnsi="Arial" w:cs="Arial"/>
          <w:lang w:val="pl-PL"/>
        </w:rPr>
        <w:t xml:space="preserve"> 53-16 050 0012/HD</w:t>
      </w:r>
      <w:r w:rsidRPr="00540220">
        <w:rPr>
          <w:rFonts w:ascii="Arial" w:eastAsia="SimSun" w:hAnsi="Arial" w:cs="Arial" w:hint="eastAsia"/>
          <w:lang w:val="pl-PL"/>
        </w:rPr>
        <w:t>：</w:t>
      </w:r>
      <w:proofErr w:type="spellStart"/>
      <w:r w:rsidRPr="00540220">
        <w:rPr>
          <w:rFonts w:ascii="Arial" w:eastAsia="SimSun" w:hAnsi="Arial" w:cs="Arial" w:hint="eastAsia"/>
        </w:rPr>
        <w:t>路虎</w:t>
      </w:r>
      <w:proofErr w:type="spellEnd"/>
      <w:r w:rsidRPr="00540220">
        <w:rPr>
          <w:rFonts w:ascii="Arial" w:eastAsia="SimSun" w:hAnsi="Arial" w:cs="Arial"/>
          <w:lang w:val="pl-PL"/>
        </w:rPr>
        <w:t xml:space="preserve"> </w:t>
      </w:r>
      <w:proofErr w:type="spellStart"/>
      <w:r w:rsidRPr="00540220">
        <w:rPr>
          <w:rFonts w:ascii="Arial" w:eastAsia="SimSun" w:hAnsi="Arial" w:cs="Arial" w:hint="eastAsia"/>
        </w:rPr>
        <w:t>发现三</w:t>
      </w:r>
      <w:proofErr w:type="spellEnd"/>
    </w:p>
    <w:p w:rsidR="00540220" w:rsidRDefault="00540220" w:rsidP="00540220">
      <w:pPr>
        <w:autoSpaceDE w:val="0"/>
        <w:autoSpaceDN w:val="0"/>
        <w:adjustRightInd w:val="0"/>
        <w:spacing w:after="240" w:line="360" w:lineRule="auto"/>
        <w:rPr>
          <w:rFonts w:ascii="Arial" w:hAnsi="Arial" w:cs="Arial"/>
        </w:rPr>
      </w:pPr>
      <w:proofErr w:type="spellStart"/>
      <w:r>
        <w:rPr>
          <w:rFonts w:ascii="Arial" w:eastAsia="SimSun" w:hAnsi="Arial" w:cs="Arial" w:hint="eastAsia"/>
        </w:rPr>
        <w:t>这个用于三款车型的同一款</w:t>
      </w:r>
      <w:r>
        <w:rPr>
          <w:rFonts w:ascii="Arial" w:eastAsia="SimSun" w:hAnsi="Arial" w:cs="Arial"/>
        </w:rPr>
        <w:t>MEYLE</w:t>
      </w:r>
      <w:proofErr w:type="spellEnd"/>
      <w:r>
        <w:rPr>
          <w:rFonts w:ascii="Arial" w:eastAsia="SimSun" w:hAnsi="Arial" w:cs="Arial"/>
        </w:rPr>
        <w:t xml:space="preserve">-HD </w:t>
      </w:r>
      <w:proofErr w:type="spellStart"/>
      <w:r>
        <w:rPr>
          <w:rFonts w:ascii="Arial" w:eastAsia="SimSun" w:hAnsi="Arial" w:cs="Arial" w:hint="eastAsia"/>
        </w:rPr>
        <w:t>轴套可以单独更换，并可通过</w:t>
      </w:r>
      <w:proofErr w:type="spellEnd"/>
      <w:r>
        <w:rPr>
          <w:rFonts w:ascii="Arial" w:eastAsia="SimSun" w:hAnsi="Arial" w:cs="Arial"/>
        </w:rPr>
        <w:t xml:space="preserve"> MEYLE </w:t>
      </w:r>
      <w:r>
        <w:rPr>
          <w:rFonts w:ascii="Arial" w:eastAsia="SimSun" w:hAnsi="Arial" w:cs="Arial" w:hint="eastAsia"/>
        </w:rPr>
        <w:t>编号</w:t>
      </w:r>
      <w:r>
        <w:rPr>
          <w:rFonts w:ascii="Arial" w:eastAsia="SimSun" w:hAnsi="Arial" w:cs="Arial"/>
        </w:rPr>
        <w:t>“53-14 610 0000/</w:t>
      </w:r>
      <w:proofErr w:type="spellStart"/>
      <w:r>
        <w:rPr>
          <w:rFonts w:ascii="Arial" w:eastAsia="SimSun" w:hAnsi="Arial" w:cs="Arial"/>
        </w:rPr>
        <w:t>HD”</w:t>
      </w:r>
      <w:r>
        <w:rPr>
          <w:rFonts w:ascii="Arial" w:eastAsia="SimSun" w:hAnsi="Arial" w:cs="Arial" w:hint="eastAsia"/>
        </w:rPr>
        <w:t>购得</w:t>
      </w:r>
      <w:proofErr w:type="spellEnd"/>
      <w:r>
        <w:rPr>
          <w:rFonts w:ascii="Arial" w:eastAsia="SimSun" w:hAnsi="Arial" w:cs="Arial" w:hint="eastAsia"/>
        </w:rPr>
        <w:t>。</w:t>
      </w:r>
    </w:p>
    <w:p w:rsidR="00540220" w:rsidRDefault="00540220" w:rsidP="00540220">
      <w:pPr>
        <w:autoSpaceDE w:val="0"/>
        <w:autoSpaceDN w:val="0"/>
        <w:adjustRightInd w:val="0"/>
        <w:spacing w:after="240" w:line="360" w:lineRule="auto"/>
        <w:jc w:val="both"/>
        <w:rPr>
          <w:rFonts w:ascii="Arial" w:hAnsi="Arial" w:cs="Arial"/>
        </w:rPr>
      </w:pPr>
      <w:r>
        <w:rPr>
          <w:rFonts w:ascii="Arial" w:eastAsia="SimSun" w:hAnsi="Arial" w:cs="Arial"/>
          <w:u w:val="single"/>
        </w:rPr>
        <w:t xml:space="preserve">MEYLE </w:t>
      </w:r>
      <w:r>
        <w:rPr>
          <w:rFonts w:ascii="Arial" w:eastAsia="SimSun" w:hAnsi="Arial" w:cs="Arial" w:hint="eastAsia"/>
          <w:u w:val="single"/>
        </w:rPr>
        <w:t>特约维修站小贴士：</w:t>
      </w:r>
      <w:r>
        <w:rPr>
          <w:rFonts w:ascii="Arial" w:eastAsia="SimSun" w:hAnsi="Arial" w:cs="Arial" w:hint="eastAsia"/>
        </w:rPr>
        <w:t>这家汉堡制造商的工程师建议每次在更换橡胶衬套时应同时更换同轴两侧的衬套，并且</w:t>
      </w:r>
      <w:proofErr w:type="gramStart"/>
      <w:r>
        <w:rPr>
          <w:rFonts w:ascii="Arial" w:eastAsia="SimSun" w:hAnsi="Arial" w:cs="Arial"/>
        </w:rPr>
        <w:t>,</w:t>
      </w:r>
      <w:r>
        <w:rPr>
          <w:rFonts w:ascii="Arial" w:eastAsia="SimSun" w:hAnsi="Arial" w:cs="Arial" w:hint="eastAsia"/>
        </w:rPr>
        <w:t>请务必保证操作安装时</w:t>
      </w:r>
      <w:r>
        <w:rPr>
          <w:rFonts w:ascii="Arial" w:eastAsia="SimSun" w:hAnsi="Arial" w:cs="Arial"/>
        </w:rPr>
        <w:t>,</w:t>
      </w:r>
      <w:r>
        <w:rPr>
          <w:rFonts w:ascii="Arial" w:eastAsia="SimSun" w:hAnsi="Arial" w:cs="Arial" w:hint="eastAsia"/>
        </w:rPr>
        <w:t>车辆处于负载状态</w:t>
      </w:r>
      <w:proofErr w:type="gramEnd"/>
      <w:r>
        <w:rPr>
          <w:rFonts w:ascii="Arial" w:eastAsia="SimSun" w:hAnsi="Arial" w:cs="Arial"/>
        </w:rPr>
        <w:t>—</w:t>
      </w:r>
      <w:r>
        <w:rPr>
          <w:rFonts w:ascii="Arial" w:eastAsia="SimSun" w:hAnsi="Arial" w:cs="Arial" w:hint="eastAsia"/>
        </w:rPr>
        <w:t>即车轮着地</w:t>
      </w:r>
      <w:r>
        <w:rPr>
          <w:rFonts w:ascii="Arial" w:eastAsia="SimSun" w:hAnsi="Arial" w:cs="Arial" w:hint="eastAsia"/>
        </w:rPr>
        <w:lastRenderedPageBreak/>
        <w:t>的一般车辆行驶</w:t>
      </w:r>
      <w:r>
        <w:rPr>
          <w:rFonts w:ascii="Arial" w:eastAsia="SimSun" w:hAnsi="Arial" w:cs="Arial"/>
        </w:rPr>
        <w:t>,</w:t>
      </w:r>
      <w:r>
        <w:rPr>
          <w:rFonts w:ascii="Arial" w:eastAsia="SimSun" w:hAnsi="Arial" w:cs="Arial" w:hint="eastAsia"/>
        </w:rPr>
        <w:t>停止状态。这样保证了在车辆正常行驶后</w:t>
      </w:r>
      <w:proofErr w:type="gramStart"/>
      <w:r>
        <w:rPr>
          <w:rFonts w:ascii="Arial" w:eastAsia="SimSun" w:hAnsi="Arial" w:cs="Arial"/>
        </w:rPr>
        <w:t>,</w:t>
      </w:r>
      <w:r>
        <w:rPr>
          <w:rFonts w:ascii="Arial" w:eastAsia="SimSun" w:hAnsi="Arial" w:cs="Arial" w:hint="eastAsia"/>
        </w:rPr>
        <w:t>避免橡胶金属连接处出现裂纹和橡胶的过早老化</w:t>
      </w:r>
      <w:proofErr w:type="gramEnd"/>
      <w:r>
        <w:rPr>
          <w:rFonts w:ascii="Arial" w:eastAsia="SimSun" w:hAnsi="Arial" w:cs="Arial"/>
        </w:rPr>
        <w:t xml:space="preserve">. </w:t>
      </w:r>
      <w:proofErr w:type="spellStart"/>
      <w:r>
        <w:rPr>
          <w:rFonts w:ascii="Arial" w:eastAsia="SimSun" w:hAnsi="Arial" w:cs="Arial" w:hint="eastAsia"/>
        </w:rPr>
        <w:t>在更换结束后，每次都必须进行四轮定位</w:t>
      </w:r>
      <w:proofErr w:type="spellEnd"/>
      <w:r>
        <w:rPr>
          <w:rFonts w:ascii="Arial" w:eastAsia="SimSun" w:hAnsi="Arial" w:cs="Arial" w:hint="eastAsia"/>
        </w:rPr>
        <w:t>。</w:t>
      </w:r>
    </w:p>
    <w:p w:rsidR="00B27DC6" w:rsidRDefault="00B27DC6" w:rsidP="00B27DC6">
      <w:pPr>
        <w:rPr>
          <w:rFonts w:ascii="Arial" w:hAnsi="Arial" w:cs="Arial"/>
          <w:sz w:val="18"/>
          <w:szCs w:val="20"/>
        </w:rPr>
      </w:pPr>
      <w:bookmarkStart w:id="0" w:name="_GoBack"/>
      <w:bookmarkEnd w:id="0"/>
      <w:proofErr w:type="spellStart"/>
      <w:r>
        <w:rPr>
          <w:rFonts w:ascii="MS Gothic" w:eastAsia="MS Gothic" w:hAnsi="MS Gothic" w:cs="MS Gothic" w:hint="eastAsia"/>
          <w:sz w:val="18"/>
        </w:rPr>
        <w:t>您可以在</w:t>
      </w:r>
      <w:hyperlink r:id="rId8" w:history="1">
        <w:r>
          <w:rPr>
            <w:rStyle w:val="Hyperlink"/>
            <w:rFonts w:ascii="Arial" w:hAnsi="Arial" w:cs="Arial"/>
            <w:sz w:val="18"/>
          </w:rPr>
          <w:t>www.meyle.com</w:t>
        </w:r>
      </w:hyperlink>
      <w:r>
        <w:rPr>
          <w:rFonts w:ascii="MS Gothic" w:eastAsia="MS Gothic" w:hAnsi="MS Gothic" w:cs="MS Gothic" w:hint="eastAsia"/>
          <w:sz w:val="18"/>
        </w:rPr>
        <w:t>下</w:t>
      </w:r>
      <w:r>
        <w:rPr>
          <w:rFonts w:ascii="MingLiU" w:eastAsia="MingLiU" w:hAnsi="MingLiU" w:cs="MingLiU" w:hint="eastAsia"/>
          <w:sz w:val="18"/>
        </w:rPr>
        <w:t>载传媒稿和传媒照片，或者订购文件形式的传媒稿和传媒照片</w:t>
      </w:r>
      <w:proofErr w:type="spellEnd"/>
      <w:r>
        <w:rPr>
          <w:rFonts w:ascii="MingLiU" w:eastAsia="MingLiU" w:hAnsi="MingLiU" w:cs="MingLiU" w:hint="eastAsia"/>
          <w:sz w:val="18"/>
        </w:rPr>
        <w:t>。</w:t>
      </w:r>
    </w:p>
    <w:p w:rsidR="00B27DC6" w:rsidRDefault="00B27DC6" w:rsidP="00B27DC6">
      <w:pPr>
        <w:rPr>
          <w:rFonts w:ascii="MingLiU" w:eastAsia="MingLiU" w:hAnsi="MingLiU" w:cs="MingLiU"/>
          <w:sz w:val="18"/>
        </w:rPr>
      </w:pPr>
    </w:p>
    <w:p w:rsidR="00B27DC6" w:rsidRDefault="00B27DC6" w:rsidP="00B27DC6">
      <w:pPr>
        <w:rPr>
          <w:rFonts w:ascii="Arial" w:hAnsi="Arial" w:cs="Arial"/>
          <w:sz w:val="18"/>
          <w:szCs w:val="20"/>
        </w:rPr>
      </w:pPr>
      <w:proofErr w:type="spellStart"/>
      <w:r>
        <w:rPr>
          <w:rFonts w:ascii="MingLiU" w:eastAsia="MingLiU" w:hAnsi="MingLiU" w:cs="MingLiU" w:hint="eastAsia"/>
          <w:sz w:val="18"/>
        </w:rPr>
        <w:t>联系人</w:t>
      </w:r>
      <w:proofErr w:type="spellEnd"/>
      <w:r>
        <w:rPr>
          <w:rFonts w:ascii="MingLiU" w:eastAsia="MingLiU" w:hAnsi="MingLiU" w:cs="MingLiU" w:hint="eastAsia"/>
          <w:sz w:val="18"/>
        </w:rPr>
        <w:t>：</w:t>
      </w:r>
    </w:p>
    <w:p w:rsidR="00B27DC6" w:rsidRDefault="00B27DC6" w:rsidP="00B27DC6">
      <w:pPr>
        <w:rPr>
          <w:rFonts w:ascii="Arial" w:hAnsi="Arial" w:cs="Arial"/>
          <w:sz w:val="18"/>
          <w:szCs w:val="20"/>
        </w:rPr>
      </w:pPr>
    </w:p>
    <w:p w:rsidR="00B27DC6" w:rsidRDefault="00B27DC6" w:rsidP="00B27DC6">
      <w:pPr>
        <w:numPr>
          <w:ilvl w:val="0"/>
          <w:numId w:val="9"/>
        </w:numPr>
        <w:rPr>
          <w:rFonts w:ascii="Arial" w:hAnsi="Arial" w:cs="Arial"/>
          <w:sz w:val="18"/>
          <w:szCs w:val="20"/>
        </w:rPr>
      </w:pPr>
      <w:r>
        <w:rPr>
          <w:rFonts w:ascii="Arial" w:hAnsi="Arial" w:cs="Arial"/>
          <w:sz w:val="18"/>
        </w:rPr>
        <w:t>Public Relations von Hoyningen-</w:t>
      </w:r>
      <w:proofErr w:type="spellStart"/>
      <w:r>
        <w:rPr>
          <w:rFonts w:ascii="Arial" w:hAnsi="Arial" w:cs="Arial"/>
          <w:sz w:val="18"/>
        </w:rPr>
        <w:t>Huene</w:t>
      </w:r>
      <w:proofErr w:type="spellEnd"/>
      <w:r>
        <w:rPr>
          <w:rFonts w:ascii="Arial" w:hAnsi="Arial" w:cs="Arial"/>
          <w:sz w:val="18"/>
        </w:rPr>
        <w:t xml:space="preserve">, Marc von Bandemer, </w:t>
      </w:r>
      <w:proofErr w:type="spellStart"/>
      <w:r>
        <w:rPr>
          <w:rFonts w:ascii="MingLiU" w:eastAsia="MingLiU" w:hAnsi="MingLiU" w:cs="MingLiU" w:hint="eastAsia"/>
          <w:sz w:val="18"/>
        </w:rPr>
        <w:t>电话</w:t>
      </w:r>
      <w:proofErr w:type="spellEnd"/>
      <w:r>
        <w:rPr>
          <w:rFonts w:ascii="MingLiU" w:eastAsia="MingLiU" w:hAnsi="MingLiU" w:cs="MingLiU" w:hint="eastAsia"/>
          <w:sz w:val="18"/>
        </w:rPr>
        <w:t>：</w:t>
      </w:r>
      <w:r>
        <w:rPr>
          <w:rFonts w:ascii="Arial" w:hAnsi="Arial" w:cs="Arial"/>
          <w:sz w:val="18"/>
        </w:rPr>
        <w:t xml:space="preserve">+49 40 416208-17, </w:t>
      </w:r>
      <w:r>
        <w:rPr>
          <w:rFonts w:ascii="MingLiU" w:eastAsia="MingLiU" w:hAnsi="MingLiU" w:cs="MingLiU" w:hint="eastAsia"/>
          <w:sz w:val="18"/>
        </w:rPr>
        <w:t>电子信箱：</w:t>
      </w:r>
      <w:hyperlink r:id="rId9" w:history="1">
        <w:r>
          <w:rPr>
            <w:rStyle w:val="Hyperlink"/>
            <w:rFonts w:ascii="Arial" w:hAnsi="Arial" w:cs="Arial"/>
            <w:sz w:val="18"/>
          </w:rPr>
          <w:t>mvb@prvhh.de</w:t>
        </w:r>
      </w:hyperlink>
    </w:p>
    <w:p w:rsidR="00B27DC6" w:rsidRDefault="00B27DC6" w:rsidP="00B27DC6">
      <w:pPr>
        <w:numPr>
          <w:ilvl w:val="0"/>
          <w:numId w:val="9"/>
        </w:numPr>
        <w:rPr>
          <w:rFonts w:ascii="Arial" w:hAnsi="Arial" w:cs="Arial"/>
          <w:sz w:val="18"/>
          <w:szCs w:val="20"/>
        </w:rPr>
      </w:pPr>
      <w:r>
        <w:rPr>
          <w:rFonts w:ascii="Arial" w:hAnsi="Arial" w:cs="Arial"/>
          <w:sz w:val="18"/>
        </w:rPr>
        <w:t xml:space="preserve">MEYLE AG, Annika Fuchs, </w:t>
      </w:r>
      <w:proofErr w:type="spellStart"/>
      <w:r>
        <w:rPr>
          <w:rFonts w:ascii="MingLiU" w:eastAsia="MingLiU" w:hAnsi="MingLiU" w:cs="MingLiU" w:hint="eastAsia"/>
          <w:sz w:val="18"/>
        </w:rPr>
        <w:t>电话</w:t>
      </w:r>
      <w:proofErr w:type="spellEnd"/>
      <w:r>
        <w:rPr>
          <w:rFonts w:ascii="MingLiU" w:eastAsia="MingLiU" w:hAnsi="MingLiU" w:cs="MingLiU" w:hint="eastAsia"/>
          <w:sz w:val="18"/>
        </w:rPr>
        <w:t>：</w:t>
      </w:r>
      <w:r>
        <w:rPr>
          <w:rFonts w:ascii="Arial" w:hAnsi="Arial" w:cs="Arial"/>
          <w:sz w:val="18"/>
        </w:rPr>
        <w:t xml:space="preserve">+49 40 67506-519, </w:t>
      </w:r>
      <w:r>
        <w:rPr>
          <w:rFonts w:ascii="MingLiU" w:eastAsia="MingLiU" w:hAnsi="MingLiU" w:cs="MingLiU" w:hint="eastAsia"/>
          <w:sz w:val="18"/>
        </w:rPr>
        <w:t>电子信箱：</w:t>
      </w:r>
      <w:hyperlink r:id="rId10" w:history="1">
        <w:r>
          <w:rPr>
            <w:rStyle w:val="Hyperlink"/>
            <w:rFonts w:ascii="Arial" w:hAnsi="Arial" w:cs="Arial"/>
            <w:sz w:val="18"/>
          </w:rPr>
          <w:t>annika.fuchs@meyle.com</w:t>
        </w:r>
      </w:hyperlink>
      <w:r>
        <w:rPr>
          <w:rFonts w:ascii="Arial" w:hAnsi="Arial" w:cs="Arial"/>
          <w:sz w:val="18"/>
        </w:rPr>
        <w:t xml:space="preserve"> </w:t>
      </w:r>
    </w:p>
    <w:p w:rsidR="00B27DC6" w:rsidRPr="00AD580F" w:rsidRDefault="00B27DC6" w:rsidP="00B27DC6"/>
    <w:p w:rsidR="001E2C60" w:rsidRDefault="001E2C60" w:rsidP="001E2C60">
      <w:pPr>
        <w:rPr>
          <w:rFonts w:ascii="Arial" w:hAnsi="Arial" w:cs="Arial"/>
        </w:rPr>
      </w:pPr>
    </w:p>
    <w:sectPr w:rsidR="001E2C60" w:rsidSect="000C5CAA">
      <w:headerReference w:type="even" r:id="rId11"/>
      <w:headerReference w:type="default" r:id="rId12"/>
      <w:footerReference w:type="default" r:id="rId13"/>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C3C" w:rsidRDefault="00021C3C">
      <w:r>
        <w:separator/>
      </w:r>
    </w:p>
  </w:endnote>
  <w:endnote w:type="continuationSeparator" w:id="0">
    <w:p w:rsidR="00021C3C" w:rsidRDefault="00021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heSans-Plain">
    <w:altName w:val="Courier New"/>
    <w:panose1 w:val="00000000000000000000"/>
    <w:charset w:val="00"/>
    <w:family w:val="swiss"/>
    <w:notTrueType/>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Arial Unicode MS"/>
    <w:panose1 w:val="02010609000101010101"/>
    <w:charset w:val="88"/>
    <w:family w:val="modern"/>
    <w:notTrueType/>
    <w:pitch w:val="fixed"/>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BA" w:rsidRDefault="00826BED" w:rsidP="005B23F3">
    <w:pPr>
      <w:pStyle w:val="Fuzeile"/>
      <w:ind w:firstLine="6372"/>
      <w:rPr>
        <w:rFonts w:ascii="TheSans-Plain" w:hAnsi="TheSans-Plain"/>
        <w:color w:val="AAAAAA"/>
        <w:sz w:val="15"/>
        <w:szCs w:val="15"/>
      </w:rPr>
    </w:pPr>
    <w:r>
      <w:rPr>
        <w:rFonts w:ascii="TheSans-Plain" w:hAnsi="TheSans-Plain"/>
        <w:color w:val="AAAAAA"/>
        <w:sz w:val="15"/>
        <w:szCs w:val="15"/>
      </w:rPr>
      <w:t xml:space="preserve">        </w:t>
    </w:r>
    <w:r w:rsidR="00536EEA">
      <w:rPr>
        <w:rFonts w:ascii="TheSans-Plain" w:hAnsi="TheSans-Plain"/>
        <w:color w:val="AAAAAA"/>
        <w:sz w:val="15"/>
        <w:szCs w:val="15"/>
      </w:rPr>
      <w:t xml:space="preserve">         </w:t>
    </w:r>
    <w:r w:rsidR="00726958">
      <w:rPr>
        <w:rFonts w:ascii="TheSans-Plain" w:hAnsi="TheSans-Plain"/>
        <w:noProof/>
        <w:color w:val="AAAAAA"/>
        <w:sz w:val="15"/>
        <w:szCs w:val="15"/>
      </w:rPr>
      <w:drawing>
        <wp:inline distT="0" distB="0" distL="0" distR="0">
          <wp:extent cx="5838825" cy="628650"/>
          <wp:effectExtent l="0" t="0" r="9525" b="0"/>
          <wp:docPr id="3"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ooter_Allgemeine-Einkaufsbedingung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628650"/>
                  </a:xfrm>
                  <a:prstGeom prst="rect">
                    <a:avLst/>
                  </a:prstGeom>
                  <a:noFill/>
                  <a:ln>
                    <a:noFill/>
                  </a:ln>
                </pic:spPr>
              </pic:pic>
            </a:graphicData>
          </a:graphic>
        </wp:inline>
      </w:drawing>
    </w:r>
    <w:r w:rsidR="003753BA">
      <w:rPr>
        <w:rFonts w:ascii="TheSans-Plain" w:hAnsi="TheSans-Plain"/>
        <w:color w:val="AAAAAA"/>
        <w:sz w:val="15"/>
        <w:szCs w:val="15"/>
      </w:rPr>
      <w:t xml:space="preserve">                                  </w:t>
    </w:r>
    <w:r>
      <w:rPr>
        <w:rFonts w:ascii="TheSans-Plain" w:hAnsi="TheSans-Plain"/>
        <w:color w:val="AAAAAA"/>
        <w:sz w:val="15"/>
        <w:szCs w:val="15"/>
      </w:rPr>
      <w:t xml:space="preserve"> </w:t>
    </w:r>
  </w:p>
  <w:p w:rsidR="00506824" w:rsidRDefault="003753BA" w:rsidP="00826BED">
    <w:pPr>
      <w:pStyle w:val="Fuzeile"/>
      <w:ind w:left="2364" w:firstLine="4008"/>
    </w:pPr>
    <w:r>
      <w:rPr>
        <w:rFonts w:ascii="TheSans-Plain" w:hAnsi="TheSans-Plain"/>
        <w:color w:val="AAAAAA"/>
        <w:sz w:val="15"/>
        <w:szCs w:val="15"/>
      </w:rPr>
      <w:t xml:space="preserve">                                       </w:t>
    </w:r>
    <w:r w:rsidR="00826BED">
      <w:rPr>
        <w:rFonts w:ascii="TheSans-Plain" w:hAnsi="TheSans-Plain"/>
        <w:color w:val="AAAAAA"/>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C3C" w:rsidRDefault="00021C3C">
      <w:r>
        <w:separator/>
      </w:r>
    </w:p>
  </w:footnote>
  <w:footnote w:type="continuationSeparator" w:id="0">
    <w:p w:rsidR="00021C3C" w:rsidRDefault="00021C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1A5" w:rsidRDefault="00726958">
    <w:pPr>
      <w:pStyle w:val="Kopfzeile"/>
    </w:pPr>
    <w:r>
      <w:rPr>
        <w:noProof/>
      </w:rPr>
      <w:drawing>
        <wp:inline distT="0" distB="0" distL="0" distR="0">
          <wp:extent cx="5838825" cy="1057275"/>
          <wp:effectExtent l="0" t="0" r="9525" b="9525"/>
          <wp:docPr id="1" name="Bild 1" descr="Kopf_Pressemitteilung_MEY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MEY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10572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824" w:rsidRDefault="00726958" w:rsidP="005746F0">
    <w:pPr>
      <w:pStyle w:val="Kopfzeile"/>
      <w:tabs>
        <w:tab w:val="clear" w:pos="9072"/>
        <w:tab w:val="right" w:pos="9180"/>
      </w:tabs>
      <w:ind w:hanging="180"/>
    </w:pPr>
    <w:r>
      <w:rPr>
        <w:noProof/>
      </w:rPr>
      <mc:AlternateContent>
        <mc:Choice Requires="wps">
          <w:drawing>
            <wp:anchor distT="0" distB="0" distL="114300" distR="114300" simplePos="0" relativeHeight="251657728" behindDoc="0" locked="0" layoutInCell="1" allowOverlap="1">
              <wp:simplePos x="0" y="0"/>
              <wp:positionH relativeFrom="column">
                <wp:posOffset>439420</wp:posOffset>
              </wp:positionH>
              <wp:positionV relativeFrom="paragraph">
                <wp:posOffset>790575</wp:posOffset>
              </wp:positionV>
              <wp:extent cx="2335530" cy="285750"/>
              <wp:effectExtent l="127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750" w:rsidRPr="00365C07" w:rsidRDefault="00365C07" w:rsidP="00365C07">
                          <w:pPr>
                            <w:rPr>
                              <w:szCs w:val="20"/>
                              <w:lang w:eastAsia="zh-HK"/>
                            </w:rPr>
                          </w:pPr>
                          <w:r w:rsidRPr="00365C07">
                            <w:rPr>
                              <w:rFonts w:ascii="MingLiU" w:eastAsia="MingLiU" w:hAnsi="MingLiU" w:cs="MingLiU" w:hint="eastAsia"/>
                              <w:b/>
                              <w:color w:val="FFFFFF"/>
                              <w:szCs w:val="20"/>
                              <w:lang w:eastAsia="zh-HK"/>
                            </w:rPr>
                            <w:t>传媒新闻</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4.6pt;margin-top:62.25pt;width:183.9pt;height:22.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M3tgIAALo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" filled="f" stroked="f">
              <v:textbox>
                <w:txbxContent>
                  <w:p w:rsidR="008E4750" w:rsidRPr="00365C07" w:rsidRDefault="00365C07" w:rsidP="00365C07">
                    <w:pPr>
                      <w:rPr>
                        <w:szCs w:val="20"/>
                        <w:lang w:eastAsia="zh-HK"/>
                      </w:rPr>
                    </w:pPr>
                    <w:r w:rsidRPr="00365C07">
                      <w:rPr>
                        <w:rFonts w:ascii="MingLiU" w:eastAsia="MingLiU" w:hAnsi="MingLiU" w:cs="MingLiU" w:hint="eastAsia"/>
                        <w:b/>
                        <w:color w:val="FFFFFF"/>
                        <w:szCs w:val="20"/>
                        <w:lang w:eastAsia="zh-HK"/>
                      </w:rPr>
                      <w:t>传媒新闻</w:t>
                    </w:r>
                  </w:p>
                </w:txbxContent>
              </v:textbox>
            </v:shape>
          </w:pict>
        </mc:Fallback>
      </mc:AlternateContent>
    </w:r>
    <w:r w:rsidR="00536EEA">
      <w:t xml:space="preserve">    </w:t>
    </w:r>
    <w:r w:rsidR="001119AD">
      <w:t xml:space="preserve">  </w:t>
    </w:r>
    <w:r w:rsidR="000C5CAA">
      <w:t xml:space="preserve">  </w:t>
    </w:r>
    <w:r>
      <w:rPr>
        <w:noProof/>
      </w:rPr>
      <w:drawing>
        <wp:inline distT="0" distB="0" distL="0" distR="0">
          <wp:extent cx="5848350" cy="1047750"/>
          <wp:effectExtent l="0" t="0" r="0" b="0"/>
          <wp:docPr id="2" name="Grafik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0" cy="1047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226.5pt;height:97.5pt" o:bullet="t">
        <v:imagedata r:id="rId1" o:title=""/>
      </v:shape>
    </w:pict>
  </w:numPicBullet>
  <w:abstractNum w:abstractNumId="0">
    <w:nsid w:val="15D53129"/>
    <w:multiLevelType w:val="hybridMultilevel"/>
    <w:tmpl w:val="7298A3C6"/>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3">
    <w:nsid w:val="2FFC1A41"/>
    <w:multiLevelType w:val="hybridMultilevel"/>
    <w:tmpl w:val="B262F36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73EC63E1"/>
    <w:multiLevelType w:val="hybridMultilevel"/>
    <w:tmpl w:val="12C4345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D796A85"/>
    <w:multiLevelType w:val="hybridMultilevel"/>
    <w:tmpl w:val="2F2E6B92"/>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num w:numId="1">
    <w:abstractNumId w:val="6"/>
  </w:num>
  <w:num w:numId="2">
    <w:abstractNumId w:val="2"/>
  </w:num>
  <w:num w:numId="3">
    <w:abstractNumId w:val="6"/>
  </w:num>
  <w:num w:numId="4">
    <w:abstractNumId w:val="6"/>
  </w:num>
  <w:num w:numId="5">
    <w:abstractNumId w:val="1"/>
  </w:num>
  <w:num w:numId="6">
    <w:abstractNumId w:val="4"/>
  </w:num>
  <w:num w:numId="7">
    <w:abstractNumId w:val="5"/>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4179,#f0f0f0,#4d749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21C3C"/>
    <w:rsid w:val="00042CC9"/>
    <w:rsid w:val="000851CE"/>
    <w:rsid w:val="000A1B6B"/>
    <w:rsid w:val="000C5CAA"/>
    <w:rsid w:val="0010437D"/>
    <w:rsid w:val="001119AD"/>
    <w:rsid w:val="00116783"/>
    <w:rsid w:val="00122CBA"/>
    <w:rsid w:val="00176BE7"/>
    <w:rsid w:val="00191BBA"/>
    <w:rsid w:val="00195234"/>
    <w:rsid w:val="00195AC0"/>
    <w:rsid w:val="00195B75"/>
    <w:rsid w:val="001A4F78"/>
    <w:rsid w:val="001D1059"/>
    <w:rsid w:val="001E2C60"/>
    <w:rsid w:val="00234BAE"/>
    <w:rsid w:val="00245D24"/>
    <w:rsid w:val="0027204A"/>
    <w:rsid w:val="0028757A"/>
    <w:rsid w:val="002E52E6"/>
    <w:rsid w:val="003007F5"/>
    <w:rsid w:val="00307201"/>
    <w:rsid w:val="00313791"/>
    <w:rsid w:val="00362ABC"/>
    <w:rsid w:val="00365C07"/>
    <w:rsid w:val="003753BA"/>
    <w:rsid w:val="003E6AA2"/>
    <w:rsid w:val="003F07BB"/>
    <w:rsid w:val="00424C34"/>
    <w:rsid w:val="004521AE"/>
    <w:rsid w:val="004933E9"/>
    <w:rsid w:val="004B7072"/>
    <w:rsid w:val="004D21EA"/>
    <w:rsid w:val="00506824"/>
    <w:rsid w:val="00521DC2"/>
    <w:rsid w:val="0053327C"/>
    <w:rsid w:val="00536EEA"/>
    <w:rsid w:val="00540220"/>
    <w:rsid w:val="00567CB7"/>
    <w:rsid w:val="00571F5B"/>
    <w:rsid w:val="005738DC"/>
    <w:rsid w:val="005746F0"/>
    <w:rsid w:val="005A7A77"/>
    <w:rsid w:val="005B23F3"/>
    <w:rsid w:val="005B6FC5"/>
    <w:rsid w:val="005C255C"/>
    <w:rsid w:val="00617B81"/>
    <w:rsid w:val="00636535"/>
    <w:rsid w:val="00651B30"/>
    <w:rsid w:val="0068648B"/>
    <w:rsid w:val="006B19D2"/>
    <w:rsid w:val="006D031E"/>
    <w:rsid w:val="006D56EE"/>
    <w:rsid w:val="006E2242"/>
    <w:rsid w:val="006E3860"/>
    <w:rsid w:val="006E5407"/>
    <w:rsid w:val="006F2A80"/>
    <w:rsid w:val="00722DF7"/>
    <w:rsid w:val="00726958"/>
    <w:rsid w:val="007306F7"/>
    <w:rsid w:val="00747AE6"/>
    <w:rsid w:val="00753F44"/>
    <w:rsid w:val="007563B2"/>
    <w:rsid w:val="007A1836"/>
    <w:rsid w:val="007F0AA8"/>
    <w:rsid w:val="00826BED"/>
    <w:rsid w:val="00842227"/>
    <w:rsid w:val="00847DDF"/>
    <w:rsid w:val="00852D89"/>
    <w:rsid w:val="00862B4F"/>
    <w:rsid w:val="00886212"/>
    <w:rsid w:val="008B198B"/>
    <w:rsid w:val="008B5BCC"/>
    <w:rsid w:val="008C4F16"/>
    <w:rsid w:val="008D6B51"/>
    <w:rsid w:val="008E355F"/>
    <w:rsid w:val="008E4750"/>
    <w:rsid w:val="008F0D1E"/>
    <w:rsid w:val="00912D33"/>
    <w:rsid w:val="0092441E"/>
    <w:rsid w:val="009B499A"/>
    <w:rsid w:val="009C4F0D"/>
    <w:rsid w:val="00A16605"/>
    <w:rsid w:val="00A57708"/>
    <w:rsid w:val="00A74B08"/>
    <w:rsid w:val="00A75ED9"/>
    <w:rsid w:val="00B06F71"/>
    <w:rsid w:val="00B27DC6"/>
    <w:rsid w:val="00B306E2"/>
    <w:rsid w:val="00BA49EF"/>
    <w:rsid w:val="00BB4961"/>
    <w:rsid w:val="00BB5B42"/>
    <w:rsid w:val="00BC35F8"/>
    <w:rsid w:val="00BD1F9A"/>
    <w:rsid w:val="00BF6757"/>
    <w:rsid w:val="00C7655D"/>
    <w:rsid w:val="00CB3C35"/>
    <w:rsid w:val="00CB50D0"/>
    <w:rsid w:val="00D1714F"/>
    <w:rsid w:val="00D23B41"/>
    <w:rsid w:val="00E00280"/>
    <w:rsid w:val="00E41A5C"/>
    <w:rsid w:val="00E533E9"/>
    <w:rsid w:val="00E72283"/>
    <w:rsid w:val="00E811A5"/>
    <w:rsid w:val="00EB23C7"/>
    <w:rsid w:val="00EB6FAC"/>
    <w:rsid w:val="00F33EC2"/>
    <w:rsid w:val="00F93B43"/>
    <w:rsid w:val="00FA6673"/>
    <w:rsid w:val="00FB22C9"/>
    <w:rsid w:val="00FE70F4"/>
    <w:rsid w:val="00FF7A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A74B08"/>
    <w:rPr>
      <w:b/>
      <w:bCs/>
      <w:lang w:val="en-GB" w:eastAsia="en-GB"/>
    </w:rPr>
  </w:style>
  <w:style w:type="paragraph" w:styleId="KeinLeerraum">
    <w:name w:val="No Spacing"/>
    <w:uiPriority w:val="1"/>
    <w:qFormat/>
    <w:rsid w:val="00A74B08"/>
    <w:rPr>
      <w:sz w:val="24"/>
      <w:szCs w:val="24"/>
    </w:rPr>
  </w:style>
  <w:style w:type="paragraph" w:styleId="Sprechblasentext">
    <w:name w:val="Balloon Text"/>
    <w:basedOn w:val="Standard"/>
    <w:link w:val="SprechblasentextZchn"/>
    <w:rsid w:val="00540220"/>
    <w:rPr>
      <w:rFonts w:ascii="Tahoma" w:hAnsi="Tahoma" w:cs="Tahoma"/>
      <w:sz w:val="16"/>
      <w:szCs w:val="16"/>
    </w:rPr>
  </w:style>
  <w:style w:type="character" w:customStyle="1" w:styleId="SprechblasentextZchn">
    <w:name w:val="Sprechblasentext Zchn"/>
    <w:basedOn w:val="Absatz-Standardschriftart"/>
    <w:link w:val="Sprechblasentext"/>
    <w:rsid w:val="00540220"/>
    <w:rPr>
      <w:rFonts w:ascii="Tahoma" w:hAnsi="Tahoma" w:cs="Tahoma"/>
      <w:sz w:val="16"/>
      <w:szCs w:val="16"/>
    </w:rPr>
  </w:style>
  <w:style w:type="paragraph" w:styleId="Listenabsatz">
    <w:name w:val="List Paragraph"/>
    <w:basedOn w:val="Standard"/>
    <w:uiPriority w:val="34"/>
    <w:qFormat/>
    <w:rsid w:val="0054022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A74B08"/>
    <w:rPr>
      <w:b/>
      <w:bCs/>
      <w:lang w:val="en-GB" w:eastAsia="en-GB"/>
    </w:rPr>
  </w:style>
  <w:style w:type="paragraph" w:styleId="KeinLeerraum">
    <w:name w:val="No Spacing"/>
    <w:uiPriority w:val="1"/>
    <w:qFormat/>
    <w:rsid w:val="00A74B08"/>
    <w:rPr>
      <w:sz w:val="24"/>
      <w:szCs w:val="24"/>
    </w:rPr>
  </w:style>
  <w:style w:type="paragraph" w:styleId="Sprechblasentext">
    <w:name w:val="Balloon Text"/>
    <w:basedOn w:val="Standard"/>
    <w:link w:val="SprechblasentextZchn"/>
    <w:rsid w:val="00540220"/>
    <w:rPr>
      <w:rFonts w:ascii="Tahoma" w:hAnsi="Tahoma" w:cs="Tahoma"/>
      <w:sz w:val="16"/>
      <w:szCs w:val="16"/>
    </w:rPr>
  </w:style>
  <w:style w:type="character" w:customStyle="1" w:styleId="SprechblasentextZchn">
    <w:name w:val="Sprechblasentext Zchn"/>
    <w:basedOn w:val="Absatz-Standardschriftart"/>
    <w:link w:val="Sprechblasentext"/>
    <w:rsid w:val="00540220"/>
    <w:rPr>
      <w:rFonts w:ascii="Tahoma" w:hAnsi="Tahoma" w:cs="Tahoma"/>
      <w:sz w:val="16"/>
      <w:szCs w:val="16"/>
    </w:rPr>
  </w:style>
  <w:style w:type="paragraph" w:styleId="Listenabsatz">
    <w:name w:val="List Paragraph"/>
    <w:basedOn w:val="Standard"/>
    <w:uiPriority w:val="34"/>
    <w:qFormat/>
    <w:rsid w:val="005402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06496">
      <w:bodyDiv w:val="1"/>
      <w:marLeft w:val="0"/>
      <w:marRight w:val="0"/>
      <w:marTop w:val="0"/>
      <w:marBottom w:val="0"/>
      <w:divBdr>
        <w:top w:val="none" w:sz="0" w:space="0" w:color="auto"/>
        <w:left w:val="none" w:sz="0" w:space="0" w:color="auto"/>
        <w:bottom w:val="none" w:sz="0" w:space="0" w:color="auto"/>
        <w:right w:val="none" w:sz="0" w:space="0" w:color="auto"/>
      </w:divBdr>
    </w:div>
    <w:div w:id="94091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yle.com/"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nika.fuchs@meyle.com" TargetMode="External"/><Relationship Id="rId4" Type="http://schemas.openxmlformats.org/officeDocument/2006/relationships/settings" Target="settings.xml"/><Relationship Id="rId9" Type="http://schemas.openxmlformats.org/officeDocument/2006/relationships/hyperlink" Target="mailto:mvb@prvhh.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166</Words>
  <Characters>1050</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MEYLE AG</vt:lpstr>
    </vt:vector>
  </TitlesOfParts>
  <Company>Wulf Gaertner Autoparts AG</Company>
  <LinksUpToDate>false</LinksUpToDate>
  <CharactersWithSpaces>1214</CharactersWithSpaces>
  <SharedDoc>false</SharedDoc>
  <HLinks>
    <vt:vector size="18" baseType="variant">
      <vt:variant>
        <vt:i4>3997768</vt:i4>
      </vt:variant>
      <vt:variant>
        <vt:i4>6</vt:i4>
      </vt:variant>
      <vt:variant>
        <vt:i4>0</vt:i4>
      </vt:variant>
      <vt:variant>
        <vt:i4>5</vt:i4>
      </vt:variant>
      <vt:variant>
        <vt:lpwstr>mailto:annika.fuchs@meyle.com</vt:lpwstr>
      </vt:variant>
      <vt:variant>
        <vt:lpwstr/>
      </vt:variant>
      <vt:variant>
        <vt:i4>6750280</vt:i4>
      </vt:variant>
      <vt:variant>
        <vt:i4>3</vt:i4>
      </vt:variant>
      <vt:variant>
        <vt:i4>0</vt:i4>
      </vt:variant>
      <vt:variant>
        <vt:i4>5</vt:i4>
      </vt:variant>
      <vt:variant>
        <vt:lpwstr>mailto:mvb@prvhh.de</vt:lpwstr>
      </vt:variant>
      <vt:variant>
        <vt:lpwstr/>
      </vt:variant>
      <vt:variant>
        <vt:i4>5505048</vt:i4>
      </vt:variant>
      <vt:variant>
        <vt:i4>0</vt:i4>
      </vt:variant>
      <vt:variant>
        <vt:i4>0</vt:i4>
      </vt:variant>
      <vt:variant>
        <vt:i4>5</vt:i4>
      </vt:variant>
      <vt:variant>
        <vt:lpwstr>http://www.meyle.com/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AG</dc:title>
  <dc:creator>MEYLE AG</dc:creator>
  <cp:lastModifiedBy>Galina Ponomareva</cp:lastModifiedBy>
  <cp:revision>2</cp:revision>
  <cp:lastPrinted>2009-12-16T11:09:00Z</cp:lastPrinted>
  <dcterms:created xsi:type="dcterms:W3CDTF">2017-03-14T08:18:00Z</dcterms:created>
  <dcterms:modified xsi:type="dcterms:W3CDTF">2017-03-14T08:18:00Z</dcterms:modified>
</cp:coreProperties>
</file>