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3DC3" w:rsidRDefault="00B03DC3" w:rsidP="00B03DC3">
      <w:pPr>
        <w:autoSpaceDE w:val="0"/>
        <w:autoSpaceDN w:val="0"/>
        <w:adjustRightInd w:val="0"/>
        <w:spacing w:after="240" w:line="360" w:lineRule="auto"/>
        <w:jc w:val="both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br/>
      </w:r>
      <w:r w:rsidRPr="00B03DC3">
        <w:rPr>
          <w:rFonts w:ascii="Arial" w:hAnsi="Arial"/>
          <w:b/>
          <w:sz w:val="28"/>
        </w:rPr>
        <w:t xml:space="preserve">Migliori performance, maggiore durata: </w:t>
      </w:r>
      <w:proofErr w:type="gramStart"/>
      <w:r w:rsidRPr="00B03DC3">
        <w:rPr>
          <w:rFonts w:ascii="Arial" w:hAnsi="Arial"/>
          <w:b/>
          <w:sz w:val="28"/>
        </w:rPr>
        <w:t>22</w:t>
      </w:r>
      <w:proofErr w:type="gramEnd"/>
      <w:r w:rsidRPr="00B03DC3">
        <w:rPr>
          <w:rFonts w:ascii="Arial" w:hAnsi="Arial"/>
          <w:b/>
          <w:sz w:val="28"/>
        </w:rPr>
        <w:t xml:space="preserve"> nuove referenze di giunti trasmissione MEYLE-HD</w:t>
      </w:r>
    </w:p>
    <w:p w:rsidR="00B03DC3" w:rsidRPr="00DA58BE" w:rsidRDefault="00B03DC3" w:rsidP="00B03DC3">
      <w:pPr>
        <w:pStyle w:val="Listenabsatz"/>
        <w:numPr>
          <w:ilvl w:val="0"/>
          <w:numId w:val="23"/>
        </w:numPr>
        <w:spacing w:after="240" w:line="360" w:lineRule="auto"/>
        <w:jc w:val="both"/>
        <w:rPr>
          <w:rFonts w:ascii="Arial" w:hAnsi="Arial" w:cs="Arial"/>
          <w:b/>
          <w:szCs w:val="26"/>
        </w:rPr>
      </w:pPr>
      <w:r>
        <w:rPr>
          <w:rFonts w:ascii="Arial" w:hAnsi="Arial" w:cs="Arial"/>
          <w:b/>
          <w:szCs w:val="26"/>
        </w:rPr>
        <w:t xml:space="preserve">Il produttore di Amburgo </w:t>
      </w:r>
      <w:r w:rsidRPr="00DA58BE">
        <w:rPr>
          <w:rFonts w:ascii="Arial" w:hAnsi="Arial" w:cs="Arial"/>
          <w:b/>
          <w:szCs w:val="26"/>
        </w:rPr>
        <w:t xml:space="preserve">MEYLE </w:t>
      </w:r>
      <w:r>
        <w:rPr>
          <w:rFonts w:ascii="Arial" w:hAnsi="Arial" w:cs="Arial"/>
          <w:b/>
          <w:szCs w:val="26"/>
        </w:rPr>
        <w:t xml:space="preserve">presenta, in collaborazione con la BOGE </w:t>
      </w:r>
      <w:proofErr w:type="spellStart"/>
      <w:r>
        <w:rPr>
          <w:rFonts w:ascii="Arial" w:hAnsi="Arial" w:cs="Arial"/>
          <w:b/>
          <w:szCs w:val="26"/>
        </w:rPr>
        <w:t>Elastmetall</w:t>
      </w:r>
      <w:proofErr w:type="spellEnd"/>
      <w:r>
        <w:rPr>
          <w:rFonts w:ascii="Arial" w:hAnsi="Arial" w:cs="Arial"/>
          <w:b/>
          <w:szCs w:val="26"/>
        </w:rPr>
        <w:t xml:space="preserve"> </w:t>
      </w:r>
      <w:proofErr w:type="spellStart"/>
      <w:r>
        <w:rPr>
          <w:rFonts w:ascii="Arial" w:hAnsi="Arial" w:cs="Arial"/>
          <w:b/>
          <w:szCs w:val="26"/>
        </w:rPr>
        <w:t>GmbH</w:t>
      </w:r>
      <w:proofErr w:type="spellEnd"/>
      <w:r>
        <w:rPr>
          <w:rFonts w:ascii="Arial" w:hAnsi="Arial" w:cs="Arial"/>
          <w:b/>
          <w:szCs w:val="26"/>
        </w:rPr>
        <w:t>,</w:t>
      </w:r>
      <w:r w:rsidRPr="00DA58BE">
        <w:rPr>
          <w:rFonts w:ascii="Arial" w:hAnsi="Arial" w:cs="Arial"/>
          <w:b/>
          <w:szCs w:val="26"/>
        </w:rPr>
        <w:t xml:space="preserve"> </w:t>
      </w:r>
      <w:proofErr w:type="gramStart"/>
      <w:r>
        <w:rPr>
          <w:rFonts w:ascii="Arial" w:hAnsi="Arial" w:cs="Arial"/>
          <w:b/>
          <w:szCs w:val="26"/>
        </w:rPr>
        <w:t>dei nuovi giunti trasmissione</w:t>
      </w:r>
      <w:proofErr w:type="gramEnd"/>
      <w:r>
        <w:rPr>
          <w:rFonts w:ascii="Arial" w:hAnsi="Arial" w:cs="Arial"/>
          <w:b/>
          <w:szCs w:val="26"/>
        </w:rPr>
        <w:t xml:space="preserve"> in qualità MEYLE</w:t>
      </w:r>
      <w:r w:rsidRPr="00DA58BE">
        <w:rPr>
          <w:rFonts w:ascii="Arial" w:hAnsi="Arial" w:cs="Arial"/>
          <w:b/>
          <w:szCs w:val="26"/>
        </w:rPr>
        <w:t>-HD</w:t>
      </w:r>
    </w:p>
    <w:p w:rsidR="00B03DC3" w:rsidRPr="00DA58BE" w:rsidRDefault="00B03DC3" w:rsidP="00B03DC3">
      <w:pPr>
        <w:pStyle w:val="Listenabsatz"/>
        <w:numPr>
          <w:ilvl w:val="0"/>
          <w:numId w:val="23"/>
        </w:numPr>
        <w:autoSpaceDE w:val="0"/>
        <w:autoSpaceDN w:val="0"/>
        <w:adjustRightInd w:val="0"/>
        <w:spacing w:after="240" w:line="360" w:lineRule="auto"/>
        <w:jc w:val="both"/>
        <w:rPr>
          <w:rFonts w:ascii="Arial" w:hAnsi="Arial" w:cs="Arial"/>
          <w:b/>
        </w:rPr>
      </w:pPr>
      <w:proofErr w:type="gramStart"/>
      <w:r w:rsidRPr="00DA58BE">
        <w:rPr>
          <w:rFonts w:ascii="Arial" w:hAnsi="Arial" w:cs="Arial"/>
          <w:b/>
          <w:szCs w:val="26"/>
        </w:rPr>
        <w:t xml:space="preserve">Riduzione dell’attrito interno con </w:t>
      </w:r>
      <w:r>
        <w:rPr>
          <w:rFonts w:ascii="Arial" w:hAnsi="Arial" w:cs="Arial"/>
          <w:b/>
          <w:szCs w:val="26"/>
        </w:rPr>
        <w:t xml:space="preserve">una </w:t>
      </w:r>
      <w:r w:rsidRPr="00DA58BE">
        <w:rPr>
          <w:rFonts w:ascii="Arial" w:hAnsi="Arial" w:cs="Arial"/>
          <w:b/>
          <w:szCs w:val="26"/>
        </w:rPr>
        <w:t xml:space="preserve">tecnologia di avvolgimento nuova e ottimizzata </w:t>
      </w:r>
      <w:proofErr w:type="gramEnd"/>
    </w:p>
    <w:p w:rsidR="00B03DC3" w:rsidRPr="00DA58BE" w:rsidRDefault="00B03DC3" w:rsidP="00B03DC3">
      <w:pPr>
        <w:pStyle w:val="Listenabsatz"/>
        <w:numPr>
          <w:ilvl w:val="0"/>
          <w:numId w:val="23"/>
        </w:numPr>
        <w:autoSpaceDE w:val="0"/>
        <w:autoSpaceDN w:val="0"/>
        <w:adjustRightInd w:val="0"/>
        <w:spacing w:after="240" w:line="360" w:lineRule="auto"/>
        <w:jc w:val="both"/>
        <w:rPr>
          <w:rFonts w:ascii="Arial" w:hAnsi="Arial" w:cs="Arial"/>
          <w:b/>
        </w:rPr>
      </w:pPr>
      <w:r w:rsidRPr="00DA58BE">
        <w:rPr>
          <w:rFonts w:ascii="Arial" w:hAnsi="Arial" w:cs="Arial"/>
          <w:b/>
          <w:szCs w:val="26"/>
        </w:rPr>
        <w:t xml:space="preserve">4 anni di garanzia </w:t>
      </w:r>
      <w:proofErr w:type="gramStart"/>
      <w:r w:rsidRPr="00DA58BE">
        <w:rPr>
          <w:rFonts w:ascii="Arial" w:hAnsi="Arial" w:cs="Arial"/>
          <w:b/>
          <w:szCs w:val="26"/>
        </w:rPr>
        <w:t xml:space="preserve">sui giunti trasmissione </w:t>
      </w:r>
      <w:r>
        <w:rPr>
          <w:rFonts w:ascii="Arial" w:hAnsi="Arial" w:cs="Arial"/>
          <w:b/>
          <w:szCs w:val="26"/>
        </w:rPr>
        <w:t>MEYLE</w:t>
      </w:r>
      <w:r w:rsidRPr="00DA58BE">
        <w:rPr>
          <w:rFonts w:ascii="Arial" w:hAnsi="Arial" w:cs="Arial"/>
          <w:b/>
          <w:szCs w:val="26"/>
        </w:rPr>
        <w:t>-HD</w:t>
      </w:r>
      <w:proofErr w:type="gramEnd"/>
    </w:p>
    <w:p w:rsidR="00B03DC3" w:rsidRPr="00B03DC3" w:rsidRDefault="00B03DC3" w:rsidP="00B03DC3">
      <w:pPr>
        <w:spacing w:after="240" w:line="360" w:lineRule="auto"/>
        <w:jc w:val="both"/>
        <w:rPr>
          <w:rFonts w:ascii="Arial" w:hAnsi="Arial"/>
          <w:b/>
        </w:rPr>
      </w:pPr>
      <w:r w:rsidRPr="00B03DC3">
        <w:rPr>
          <w:rFonts w:ascii="Arial" w:hAnsi="Arial"/>
          <w:b/>
          <w:u w:val="single"/>
        </w:rPr>
        <w:t xml:space="preserve">Amburgo, 17 luglio 2018. </w:t>
      </w:r>
      <w:r w:rsidRPr="00B03DC3">
        <w:rPr>
          <w:rFonts w:ascii="Arial" w:hAnsi="Arial"/>
          <w:b/>
        </w:rPr>
        <w:t xml:space="preserve">Il produttore di ricambi di Amburgo MEYLE presenta le nuove referenze </w:t>
      </w:r>
      <w:proofErr w:type="gramStart"/>
      <w:r w:rsidRPr="00B03DC3">
        <w:rPr>
          <w:rFonts w:ascii="Arial" w:hAnsi="Arial"/>
          <w:b/>
        </w:rPr>
        <w:t>dei giunti trasmissione</w:t>
      </w:r>
      <w:proofErr w:type="gramEnd"/>
      <w:r w:rsidRPr="00B03DC3">
        <w:rPr>
          <w:rFonts w:ascii="Arial" w:hAnsi="Arial"/>
          <w:b/>
        </w:rPr>
        <w:t xml:space="preserve"> in qualità MEYLE-HD, nati da una collaborazione con uno dei produttori leader nella tecnologia degli ammortizzatori, la BOGE </w:t>
      </w:r>
      <w:proofErr w:type="spellStart"/>
      <w:r w:rsidRPr="00B03DC3">
        <w:rPr>
          <w:rFonts w:ascii="Arial" w:hAnsi="Arial"/>
          <w:b/>
        </w:rPr>
        <w:t>Elastmetall</w:t>
      </w:r>
      <w:proofErr w:type="spellEnd"/>
      <w:r w:rsidRPr="00B03DC3">
        <w:rPr>
          <w:rFonts w:ascii="Arial" w:hAnsi="Arial"/>
          <w:b/>
        </w:rPr>
        <w:t xml:space="preserve"> </w:t>
      </w:r>
      <w:proofErr w:type="spellStart"/>
      <w:r w:rsidRPr="00B03DC3">
        <w:rPr>
          <w:rFonts w:ascii="Arial" w:hAnsi="Arial"/>
          <w:b/>
        </w:rPr>
        <w:t>GmbH</w:t>
      </w:r>
      <w:proofErr w:type="spellEnd"/>
      <w:r w:rsidRPr="00B03DC3">
        <w:rPr>
          <w:rFonts w:ascii="Arial" w:hAnsi="Arial"/>
          <w:b/>
        </w:rPr>
        <w:t xml:space="preserve">. Dalla cooperazione tra i due produttori è nato un ricambio disponibile in </w:t>
      </w:r>
      <w:proofErr w:type="spellStart"/>
      <w:r w:rsidRPr="00B03DC3">
        <w:rPr>
          <w:rFonts w:ascii="Arial" w:hAnsi="Arial"/>
          <w:b/>
        </w:rPr>
        <w:t>after</w:t>
      </w:r>
      <w:proofErr w:type="spellEnd"/>
      <w:r w:rsidRPr="00B03DC3">
        <w:rPr>
          <w:rFonts w:ascii="Arial" w:hAnsi="Arial"/>
          <w:b/>
        </w:rPr>
        <w:t xml:space="preserve"> </w:t>
      </w:r>
      <w:proofErr w:type="gramStart"/>
      <w:r w:rsidRPr="00B03DC3">
        <w:rPr>
          <w:rFonts w:ascii="Arial" w:hAnsi="Arial"/>
          <w:b/>
        </w:rPr>
        <w:t>market</w:t>
      </w:r>
      <w:proofErr w:type="gramEnd"/>
      <w:r w:rsidRPr="00B03DC3">
        <w:rPr>
          <w:rFonts w:ascii="Arial" w:hAnsi="Arial"/>
          <w:b/>
        </w:rPr>
        <w:t xml:space="preserve">, un kit di riparazione MEYLE già pronto per il montaggio, costituito da un giunto trasmissione di qualità e dal relativo materiale di montaggio. I materiali ottimizzati, come la particolare mescola di gomma, </w:t>
      </w:r>
      <w:proofErr w:type="gramStart"/>
      <w:r w:rsidRPr="00B03DC3">
        <w:rPr>
          <w:rFonts w:ascii="Arial" w:hAnsi="Arial"/>
          <w:b/>
        </w:rPr>
        <w:t>ed</w:t>
      </w:r>
      <w:proofErr w:type="gramEnd"/>
      <w:r w:rsidRPr="00B03DC3">
        <w:rPr>
          <w:rFonts w:ascii="Arial" w:hAnsi="Arial"/>
          <w:b/>
        </w:rPr>
        <w:t xml:space="preserve"> un’eccellente stabilità dell’avvolgimento all’interno del giunto trasmissione, offrono una performance migliore ed una durata superiore alla media. </w:t>
      </w:r>
    </w:p>
    <w:p w:rsidR="00B03DC3" w:rsidRPr="00DE215C" w:rsidRDefault="00B03DC3" w:rsidP="00B03DC3">
      <w:pPr>
        <w:autoSpaceDE w:val="0"/>
        <w:autoSpaceDN w:val="0"/>
        <w:adjustRightInd w:val="0"/>
        <w:spacing w:after="240" w:line="360" w:lineRule="auto"/>
        <w:jc w:val="both"/>
        <w:rPr>
          <w:rFonts w:ascii="Arial" w:hAnsi="Arial" w:cs="Arial"/>
        </w:rPr>
      </w:pPr>
      <w:proofErr w:type="gramStart"/>
      <w:r w:rsidRPr="00DE215C">
        <w:rPr>
          <w:rFonts w:ascii="Arial" w:hAnsi="Arial" w:cs="Arial"/>
        </w:rPr>
        <w:t xml:space="preserve">Un giunto trasmissione </w:t>
      </w:r>
      <w:r>
        <w:rPr>
          <w:rFonts w:ascii="Arial" w:hAnsi="Arial" w:cs="Arial"/>
        </w:rPr>
        <w:t>difettoso</w:t>
      </w:r>
      <w:proofErr w:type="gramEnd"/>
      <w:r>
        <w:rPr>
          <w:rFonts w:ascii="Arial" w:hAnsi="Arial" w:cs="Arial"/>
        </w:rPr>
        <w:t xml:space="preserve"> </w:t>
      </w:r>
      <w:r w:rsidRPr="00DE215C">
        <w:rPr>
          <w:rFonts w:ascii="Arial" w:hAnsi="Arial" w:cs="Arial"/>
        </w:rPr>
        <w:t>può comportare un elevato rischio per la sicurezza e nei casi più est</w:t>
      </w:r>
      <w:r>
        <w:rPr>
          <w:rFonts w:ascii="Arial" w:hAnsi="Arial" w:cs="Arial"/>
        </w:rPr>
        <w:t>re</w:t>
      </w:r>
      <w:r w:rsidRPr="00DE215C">
        <w:rPr>
          <w:rFonts w:ascii="Arial" w:hAnsi="Arial" w:cs="Arial"/>
        </w:rPr>
        <w:t>mi</w:t>
      </w:r>
      <w:r>
        <w:rPr>
          <w:rFonts w:ascii="Arial" w:hAnsi="Arial" w:cs="Arial"/>
        </w:rPr>
        <w:t xml:space="preserve"> </w:t>
      </w:r>
      <w:r w:rsidRPr="00DE215C">
        <w:rPr>
          <w:rFonts w:ascii="Arial" w:hAnsi="Arial" w:cs="Arial"/>
        </w:rPr>
        <w:t xml:space="preserve">si rompe – </w:t>
      </w:r>
      <w:r>
        <w:rPr>
          <w:rFonts w:ascii="Arial" w:hAnsi="Arial" w:cs="Arial"/>
        </w:rPr>
        <w:t>con serie conseguenze per il veicolo ed il conducente</w:t>
      </w:r>
      <w:r w:rsidRPr="00DE215C">
        <w:rPr>
          <w:rFonts w:ascii="Arial" w:hAnsi="Arial" w:cs="Arial"/>
        </w:rPr>
        <w:t xml:space="preserve">. La </w:t>
      </w:r>
      <w:r>
        <w:rPr>
          <w:rFonts w:ascii="Arial" w:hAnsi="Arial" w:cs="Arial"/>
        </w:rPr>
        <w:t>cooperazione tra</w:t>
      </w:r>
      <w:r w:rsidRPr="00DE215C">
        <w:rPr>
          <w:rFonts w:ascii="Arial" w:hAnsi="Arial" w:cs="Arial"/>
        </w:rPr>
        <w:t xml:space="preserve"> MEYLE</w:t>
      </w:r>
      <w:r>
        <w:rPr>
          <w:rFonts w:ascii="Arial" w:hAnsi="Arial" w:cs="Arial"/>
        </w:rPr>
        <w:t xml:space="preserve"> e BOGE ha portato </w:t>
      </w:r>
      <w:proofErr w:type="gramStart"/>
      <w:r>
        <w:rPr>
          <w:rFonts w:ascii="Arial" w:hAnsi="Arial" w:cs="Arial"/>
        </w:rPr>
        <w:t>ad</w:t>
      </w:r>
      <w:proofErr w:type="gramEnd"/>
      <w:r>
        <w:rPr>
          <w:rFonts w:ascii="Arial" w:hAnsi="Arial" w:cs="Arial"/>
        </w:rPr>
        <w:t xml:space="preserve"> ottenere un giunto trasmissione che per le sue caratteristiche tecniche e per le qualità funzionali risulta particolarmente durevole ed affidabile</w:t>
      </w:r>
      <w:r w:rsidRPr="00DE215C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Grazie al</w:t>
      </w:r>
      <w:r w:rsidRPr="00453872">
        <w:rPr>
          <w:rFonts w:ascii="Arial" w:hAnsi="Arial" w:cs="Arial"/>
        </w:rPr>
        <w:t xml:space="preserve">la riduzione della coppia massima, </w:t>
      </w:r>
      <w:r>
        <w:rPr>
          <w:rFonts w:ascii="Arial" w:hAnsi="Arial" w:cs="Arial"/>
        </w:rPr>
        <w:t>l’</w:t>
      </w:r>
      <w:r w:rsidRPr="00453872">
        <w:rPr>
          <w:rFonts w:ascii="Arial" w:hAnsi="Arial" w:cs="Arial"/>
        </w:rPr>
        <w:t>ammortizzazione e</w:t>
      </w:r>
      <w:r>
        <w:rPr>
          <w:rFonts w:ascii="Arial" w:hAnsi="Arial" w:cs="Arial"/>
        </w:rPr>
        <w:t xml:space="preserve"> l’</w:t>
      </w:r>
      <w:r w:rsidRPr="00453872">
        <w:rPr>
          <w:rFonts w:ascii="Arial" w:hAnsi="Arial" w:cs="Arial"/>
        </w:rPr>
        <w:t xml:space="preserve">isolamento dell’acustica </w:t>
      </w:r>
      <w:r>
        <w:rPr>
          <w:rFonts w:ascii="Arial" w:hAnsi="Arial" w:cs="Arial"/>
        </w:rPr>
        <w:t xml:space="preserve">dell’albero </w:t>
      </w:r>
      <w:r w:rsidRPr="00453872">
        <w:rPr>
          <w:rFonts w:ascii="Arial" w:hAnsi="Arial" w:cs="Arial"/>
        </w:rPr>
        <w:t>nelle reazioni al cambio di carico</w:t>
      </w:r>
      <w:r>
        <w:rPr>
          <w:rFonts w:ascii="Arial" w:hAnsi="Arial" w:cs="Arial"/>
        </w:rPr>
        <w:t xml:space="preserve"> il giunto di trasmissione </w:t>
      </w:r>
      <w:proofErr w:type="gramStart"/>
      <w:r>
        <w:rPr>
          <w:rFonts w:ascii="Arial" w:hAnsi="Arial" w:cs="Arial"/>
        </w:rPr>
        <w:t>offre</w:t>
      </w:r>
      <w:proofErr w:type="gramEnd"/>
      <w:r>
        <w:rPr>
          <w:rFonts w:ascii="Arial" w:hAnsi="Arial" w:cs="Arial"/>
        </w:rPr>
        <w:t xml:space="preserve"> delle prestazioni eccezionali</w:t>
      </w:r>
      <w:r w:rsidRPr="00DE215C">
        <w:rPr>
          <w:rFonts w:ascii="Arial" w:hAnsi="Arial" w:cs="Arial"/>
        </w:rPr>
        <w:t xml:space="preserve">. </w:t>
      </w:r>
    </w:p>
    <w:p w:rsidR="00B03DC3" w:rsidRDefault="00B03DC3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B03DC3" w:rsidRPr="00AB5B0C" w:rsidRDefault="00B03DC3" w:rsidP="00B03DC3">
      <w:pPr>
        <w:autoSpaceDE w:val="0"/>
        <w:autoSpaceDN w:val="0"/>
        <w:adjustRightInd w:val="0"/>
        <w:spacing w:after="24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br/>
      </w:r>
      <w:r w:rsidRPr="00453872">
        <w:rPr>
          <w:rFonts w:ascii="Arial" w:hAnsi="Arial" w:cs="Arial"/>
        </w:rPr>
        <w:t xml:space="preserve">Anche </w:t>
      </w:r>
      <w:r>
        <w:rPr>
          <w:rFonts w:ascii="Arial" w:hAnsi="Arial" w:cs="Arial"/>
        </w:rPr>
        <w:t>il</w:t>
      </w:r>
      <w:r w:rsidRPr="00453872">
        <w:rPr>
          <w:rFonts w:ascii="Arial" w:hAnsi="Arial" w:cs="Arial"/>
        </w:rPr>
        <w:t xml:space="preserve"> materiale</w:t>
      </w:r>
      <w:r>
        <w:rPr>
          <w:rFonts w:ascii="Arial" w:hAnsi="Arial" w:cs="Arial"/>
        </w:rPr>
        <w:t xml:space="preserve"> del</w:t>
      </w:r>
      <w:r w:rsidRPr="0045387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ricambio</w:t>
      </w:r>
      <w:r w:rsidRPr="00453872">
        <w:rPr>
          <w:rFonts w:ascii="Arial" w:hAnsi="Arial" w:cs="Arial"/>
        </w:rPr>
        <w:t xml:space="preserve"> si fa apprezzare per </w:t>
      </w:r>
      <w:proofErr w:type="gramStart"/>
      <w:r w:rsidRPr="00453872">
        <w:rPr>
          <w:rFonts w:ascii="Arial" w:hAnsi="Arial" w:cs="Arial"/>
        </w:rPr>
        <w:t xml:space="preserve">le sue </w:t>
      </w:r>
      <w:r>
        <w:rPr>
          <w:rFonts w:ascii="Arial" w:hAnsi="Arial" w:cs="Arial"/>
        </w:rPr>
        <w:t xml:space="preserve">particolari </w:t>
      </w:r>
      <w:r w:rsidRPr="00453872">
        <w:rPr>
          <w:rFonts w:ascii="Arial" w:hAnsi="Arial" w:cs="Arial"/>
        </w:rPr>
        <w:t>caratteristiche</w:t>
      </w:r>
      <w:proofErr w:type="gramEnd"/>
      <w:r w:rsidRPr="00453872">
        <w:rPr>
          <w:rFonts w:ascii="Arial" w:hAnsi="Arial" w:cs="Arial"/>
        </w:rPr>
        <w:t xml:space="preserve">: la nuova e ottimizzata tecnologia di avvolgimento </w:t>
      </w:r>
      <w:r>
        <w:rPr>
          <w:rFonts w:ascii="Arial" w:hAnsi="Arial" w:cs="Arial"/>
        </w:rPr>
        <w:t>e le caratteristiche di trazione e spinta riducono l’attrito interno, per una durata estremamente lunga del giunto stesso</w:t>
      </w:r>
      <w:r w:rsidRPr="00453872">
        <w:rPr>
          <w:rFonts w:ascii="Arial" w:hAnsi="Arial" w:cs="Arial"/>
        </w:rPr>
        <w:t xml:space="preserve">. </w:t>
      </w:r>
      <w:r w:rsidRPr="00AB5B0C">
        <w:rPr>
          <w:rFonts w:ascii="Arial" w:hAnsi="Arial" w:cs="Arial"/>
        </w:rPr>
        <w:t>In confronto al materiale comune</w:t>
      </w:r>
      <w:r>
        <w:rPr>
          <w:rFonts w:ascii="Arial" w:hAnsi="Arial" w:cs="Arial"/>
        </w:rPr>
        <w:t>mente utilizzato</w:t>
      </w:r>
      <w:r w:rsidRPr="00AB5B0C">
        <w:rPr>
          <w:rFonts w:ascii="Arial" w:hAnsi="Arial" w:cs="Arial"/>
        </w:rPr>
        <w:t xml:space="preserve">, la </w:t>
      </w:r>
      <w:r>
        <w:rPr>
          <w:rFonts w:ascii="Arial" w:hAnsi="Arial" w:cs="Arial"/>
        </w:rPr>
        <w:t>maggiore</w:t>
      </w:r>
      <w:r w:rsidRPr="00AB5B0C">
        <w:rPr>
          <w:rFonts w:ascii="Arial" w:hAnsi="Arial" w:cs="Arial"/>
        </w:rPr>
        <w:t xml:space="preserve"> stabilità dell’avvolgimento </w:t>
      </w:r>
      <w:r>
        <w:rPr>
          <w:rFonts w:ascii="Arial" w:hAnsi="Arial" w:cs="Arial"/>
        </w:rPr>
        <w:t>offre un carico di rottura più elevato</w:t>
      </w:r>
      <w:r w:rsidRPr="00AB5B0C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Con le fasce avvolg</w:t>
      </w:r>
      <w:r w:rsidRPr="00AB5B0C">
        <w:rPr>
          <w:rFonts w:ascii="Arial" w:hAnsi="Arial" w:cs="Arial"/>
        </w:rPr>
        <w:t xml:space="preserve">enti su tutta la superficie </w:t>
      </w:r>
      <w:proofErr w:type="gramStart"/>
      <w:r w:rsidRPr="00AB5B0C">
        <w:rPr>
          <w:rFonts w:ascii="Arial" w:hAnsi="Arial" w:cs="Arial"/>
        </w:rPr>
        <w:t>ed</w:t>
      </w:r>
      <w:proofErr w:type="gramEnd"/>
      <w:r w:rsidRPr="00AB5B0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il</w:t>
      </w:r>
      <w:r w:rsidRPr="00AB5B0C">
        <w:rPr>
          <w:rFonts w:ascii="Arial" w:hAnsi="Arial" w:cs="Arial"/>
        </w:rPr>
        <w:t xml:space="preserve"> rivestimento completo</w:t>
      </w:r>
      <w:r>
        <w:rPr>
          <w:rFonts w:ascii="Arial" w:hAnsi="Arial" w:cs="Arial"/>
        </w:rPr>
        <w:t xml:space="preserve"> dell’avvolgimento,</w:t>
      </w:r>
      <w:r w:rsidRPr="00AB5B0C">
        <w:rPr>
          <w:rFonts w:ascii="Arial" w:hAnsi="Arial" w:cs="Arial"/>
        </w:rPr>
        <w:t xml:space="preserve"> il giunto trasmissione denota inoltre una maggiore stabilità. La mescola di gomma ottimizzata</w:t>
      </w:r>
      <w:r>
        <w:rPr>
          <w:rFonts w:ascii="Arial" w:hAnsi="Arial" w:cs="Arial"/>
        </w:rPr>
        <w:t xml:space="preserve"> utilizzata </w:t>
      </w:r>
      <w:proofErr w:type="gramStart"/>
      <w:r>
        <w:rPr>
          <w:rFonts w:ascii="Arial" w:hAnsi="Arial" w:cs="Arial"/>
        </w:rPr>
        <w:t>nei giunti trasmissione MEYLE-HD</w:t>
      </w:r>
      <w:proofErr w:type="gramEnd"/>
      <w:r>
        <w:rPr>
          <w:rFonts w:ascii="Arial" w:hAnsi="Arial" w:cs="Arial"/>
        </w:rPr>
        <w:t xml:space="preserve"> </w:t>
      </w:r>
      <w:r w:rsidRPr="00AB5B0C">
        <w:rPr>
          <w:rFonts w:ascii="Arial" w:hAnsi="Arial" w:cs="Arial"/>
        </w:rPr>
        <w:t xml:space="preserve">può sopportare temperature fino a 130 </w:t>
      </w:r>
      <w:r>
        <w:rPr>
          <w:rFonts w:ascii="Arial" w:hAnsi="Arial" w:cs="Arial"/>
        </w:rPr>
        <w:t xml:space="preserve">gradi </w:t>
      </w:r>
      <w:r w:rsidRPr="00AB5B0C">
        <w:rPr>
          <w:rFonts w:ascii="Arial" w:hAnsi="Arial" w:cs="Arial"/>
        </w:rPr>
        <w:t xml:space="preserve">Celsius. </w:t>
      </w:r>
    </w:p>
    <w:p w:rsidR="00B03DC3" w:rsidRPr="00AB5B0C" w:rsidRDefault="00B03DC3" w:rsidP="00B03DC3">
      <w:pPr>
        <w:autoSpaceDE w:val="0"/>
        <w:autoSpaceDN w:val="0"/>
        <w:adjustRightInd w:val="0"/>
        <w:spacing w:after="240" w:line="360" w:lineRule="auto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 xml:space="preserve">Il giunto trasmissione </w:t>
      </w:r>
      <w:r w:rsidRPr="00AB5B0C">
        <w:rPr>
          <w:rFonts w:ascii="Arial" w:hAnsi="Arial" w:cs="Arial"/>
        </w:rPr>
        <w:t>MEYLE</w:t>
      </w:r>
      <w:r>
        <w:rPr>
          <w:rFonts w:ascii="Arial" w:hAnsi="Arial" w:cs="Arial"/>
        </w:rPr>
        <w:t>-HD</w:t>
      </w:r>
      <w:proofErr w:type="gramEnd"/>
      <w:r w:rsidRPr="00AB5B0C">
        <w:rPr>
          <w:rFonts w:ascii="Arial" w:hAnsi="Arial" w:cs="Arial"/>
        </w:rPr>
        <w:t xml:space="preserve"> offre così </w:t>
      </w:r>
      <w:r>
        <w:rPr>
          <w:rFonts w:ascii="Arial" w:hAnsi="Arial" w:cs="Arial"/>
        </w:rPr>
        <w:t xml:space="preserve">a clienti ed officine </w:t>
      </w:r>
      <w:r w:rsidRPr="00AB5B0C">
        <w:rPr>
          <w:rFonts w:ascii="Arial" w:hAnsi="Arial" w:cs="Arial"/>
        </w:rPr>
        <w:t xml:space="preserve">un’ulteriore soluzione </w:t>
      </w:r>
      <w:r>
        <w:rPr>
          <w:rFonts w:ascii="Arial" w:hAnsi="Arial" w:cs="Arial"/>
        </w:rPr>
        <w:t xml:space="preserve">per una sostituzione conveniente dei </w:t>
      </w:r>
      <w:r w:rsidRPr="00AB5B0C">
        <w:rPr>
          <w:rFonts w:ascii="Arial" w:hAnsi="Arial" w:cs="Arial"/>
        </w:rPr>
        <w:t xml:space="preserve">componenti difettosi degli alberi cardanici. </w:t>
      </w:r>
      <w:r>
        <w:rPr>
          <w:rFonts w:ascii="Arial" w:hAnsi="Arial" w:cs="Arial"/>
        </w:rPr>
        <w:t>C</w:t>
      </w:r>
      <w:r w:rsidRPr="00AB5B0C">
        <w:rPr>
          <w:rFonts w:ascii="Arial" w:hAnsi="Arial" w:cs="Arial"/>
        </w:rPr>
        <w:t>on la sostituzione puntuale d</w:t>
      </w:r>
      <w:r>
        <w:rPr>
          <w:rFonts w:ascii="Arial" w:hAnsi="Arial" w:cs="Arial"/>
        </w:rPr>
        <w:t>ei</w:t>
      </w:r>
      <w:r w:rsidRPr="00AB5B0C">
        <w:rPr>
          <w:rFonts w:ascii="Arial" w:hAnsi="Arial" w:cs="Arial"/>
        </w:rPr>
        <w:t xml:space="preserve"> </w:t>
      </w:r>
      <w:proofErr w:type="gramStart"/>
      <w:r w:rsidRPr="00AB5B0C">
        <w:rPr>
          <w:rFonts w:ascii="Arial" w:hAnsi="Arial" w:cs="Arial"/>
        </w:rPr>
        <w:t>componenti</w:t>
      </w:r>
      <w:proofErr w:type="gramEnd"/>
      <w:r w:rsidRPr="00AB5B0C">
        <w:rPr>
          <w:rFonts w:ascii="Arial" w:hAnsi="Arial" w:cs="Arial"/>
        </w:rPr>
        <w:t xml:space="preserve"> difettosi</w:t>
      </w:r>
      <w:r>
        <w:rPr>
          <w:rFonts w:ascii="Arial" w:hAnsi="Arial" w:cs="Arial"/>
        </w:rPr>
        <w:t xml:space="preserve"> le officine ed i guidatori possono così risparmiare molto tempo e denaro.</w:t>
      </w:r>
    </w:p>
    <w:p w:rsidR="00B03DC3" w:rsidRDefault="00B03DC3" w:rsidP="00B03DC3">
      <w:pPr>
        <w:autoSpaceDE w:val="0"/>
        <w:autoSpaceDN w:val="0"/>
        <w:adjustRightInd w:val="0"/>
        <w:spacing w:after="240" w:line="360" w:lineRule="auto"/>
        <w:jc w:val="both"/>
        <w:rPr>
          <w:rFonts w:ascii="Arial" w:hAnsi="Arial" w:cs="Arial"/>
        </w:rPr>
      </w:pPr>
      <w:r w:rsidRPr="00AB5B0C">
        <w:rPr>
          <w:rFonts w:ascii="Arial" w:hAnsi="Arial" w:cs="Arial"/>
        </w:rPr>
        <w:t xml:space="preserve">In tutto MEYLE offre </w:t>
      </w:r>
      <w:r>
        <w:rPr>
          <w:rFonts w:ascii="Arial" w:hAnsi="Arial" w:cs="Arial"/>
        </w:rPr>
        <w:t xml:space="preserve">da ora </w:t>
      </w:r>
      <w:proofErr w:type="gramStart"/>
      <w:r w:rsidRPr="00AB5B0C">
        <w:rPr>
          <w:rFonts w:ascii="Arial" w:hAnsi="Arial" w:cs="Arial"/>
        </w:rPr>
        <w:t>22</w:t>
      </w:r>
      <w:proofErr w:type="gramEnd"/>
      <w:r w:rsidRPr="00AB5B0C">
        <w:rPr>
          <w:rFonts w:ascii="Arial" w:hAnsi="Arial" w:cs="Arial"/>
        </w:rPr>
        <w:t xml:space="preserve"> referenze per i giunti trasmissione MEYLE</w:t>
      </w:r>
      <w:r w:rsidRPr="00AB5B0C">
        <w:rPr>
          <w:rFonts w:ascii="Arial" w:hAnsi="Arial" w:cs="Arial"/>
        </w:rPr>
        <w:noBreakHyphen/>
        <w:t>HD e copre un parco macchine di oltr</w:t>
      </w:r>
      <w:r>
        <w:rPr>
          <w:rFonts w:ascii="Arial" w:hAnsi="Arial" w:cs="Arial"/>
        </w:rPr>
        <w:t>e 19 milioni di veicoli in tutto il mondo, ed è previsto un ulteriore ampliamento del portafoglio con altre referenze</w:t>
      </w:r>
      <w:r w:rsidRPr="00AB5B0C">
        <w:rPr>
          <w:rFonts w:ascii="Arial" w:hAnsi="Arial" w:cs="Arial"/>
        </w:rPr>
        <w:t xml:space="preserve">. Le officine si giovano – </w:t>
      </w:r>
      <w:r>
        <w:rPr>
          <w:rFonts w:ascii="Arial" w:hAnsi="Arial" w:cs="Arial"/>
        </w:rPr>
        <w:t>come per tutti i prodotti MEYLE</w:t>
      </w:r>
      <w:r w:rsidRPr="00AB5B0C">
        <w:rPr>
          <w:rFonts w:ascii="Arial" w:hAnsi="Arial" w:cs="Arial"/>
        </w:rPr>
        <w:t xml:space="preserve">-HD – </w:t>
      </w:r>
      <w:r>
        <w:rPr>
          <w:rFonts w:ascii="Arial" w:hAnsi="Arial" w:cs="Arial"/>
        </w:rPr>
        <w:t>di una garanzia di quattro anni</w:t>
      </w:r>
      <w:r w:rsidRPr="00AB5B0C">
        <w:rPr>
          <w:rFonts w:ascii="Arial" w:hAnsi="Arial" w:cs="Arial"/>
        </w:rPr>
        <w:t xml:space="preserve">. </w:t>
      </w:r>
    </w:p>
    <w:p w:rsidR="00B03DC3" w:rsidRDefault="00B03DC3">
      <w:pPr>
        <w:rPr>
          <w:rFonts w:ascii="Arial" w:hAnsi="Arial"/>
          <w:sz w:val="20"/>
        </w:rPr>
      </w:pPr>
      <w:r>
        <w:rPr>
          <w:rFonts w:ascii="Arial" w:hAnsi="Arial"/>
          <w:sz w:val="20"/>
        </w:rPr>
        <w:br w:type="page"/>
      </w:r>
    </w:p>
    <w:p w:rsidR="001E2C60" w:rsidRPr="0070383F" w:rsidRDefault="00B03DC3" w:rsidP="00B03DC3">
      <w:pPr>
        <w:spacing w:after="240" w:line="360" w:lineRule="auto"/>
        <w:jc w:val="both"/>
        <w:rPr>
          <w:rFonts w:ascii="Arial" w:hAnsi="Arial" w:cs="Arial"/>
          <w:sz w:val="20"/>
          <w:szCs w:val="20"/>
        </w:rPr>
      </w:pPr>
      <w:r w:rsidRPr="00B03DC3">
        <w:rPr>
          <w:rFonts w:ascii="Arial" w:hAnsi="Arial" w:cs="Arial"/>
        </w:rPr>
        <w:br/>
      </w:r>
      <w:r w:rsidR="00D3026F">
        <w:rPr>
          <w:rFonts w:ascii="Arial" w:hAnsi="Arial"/>
          <w:sz w:val="20"/>
        </w:rPr>
        <w:t xml:space="preserve">I comunicati stampa e la foto per la stampa sono scaricabili alla pagina </w:t>
      </w:r>
      <w:hyperlink r:id="rId9">
        <w:r w:rsidR="00D3026F">
          <w:rPr>
            <w:rStyle w:val="Hyperlink"/>
            <w:rFonts w:ascii="Arial" w:hAnsi="Arial"/>
            <w:sz w:val="20"/>
          </w:rPr>
          <w:t>www.meyle.com</w:t>
        </w:r>
      </w:hyperlink>
      <w:r w:rsidR="00D3026F">
        <w:rPr>
          <w:rFonts w:ascii="Arial" w:hAnsi="Arial"/>
          <w:sz w:val="20"/>
        </w:rPr>
        <w:t xml:space="preserve"> o sono ordinabili come file. </w:t>
      </w:r>
    </w:p>
    <w:p w:rsidR="00B03DC3" w:rsidRPr="00AE3552" w:rsidRDefault="00B03DC3" w:rsidP="00B03DC3">
      <w:pPr>
        <w:spacing w:line="360" w:lineRule="auto"/>
        <w:jc w:val="both"/>
        <w:rPr>
          <w:rFonts w:ascii="Arial" w:hAnsi="Arial" w:cs="Arial"/>
          <w:b/>
          <w:sz w:val="18"/>
          <w:szCs w:val="22"/>
        </w:rPr>
      </w:pPr>
      <w:r w:rsidRPr="00AE3552">
        <w:rPr>
          <w:rFonts w:ascii="Arial" w:hAnsi="Arial" w:cs="Arial"/>
          <w:b/>
          <w:sz w:val="18"/>
          <w:szCs w:val="22"/>
        </w:rPr>
        <w:t>MEYLE</w:t>
      </w:r>
    </w:p>
    <w:p w:rsidR="00B03DC3" w:rsidRPr="00774164" w:rsidRDefault="00B03DC3" w:rsidP="00B03DC3">
      <w:pPr>
        <w:spacing w:after="240" w:line="360" w:lineRule="auto"/>
        <w:jc w:val="both"/>
        <w:rPr>
          <w:rFonts w:ascii="Arial" w:hAnsi="Arial" w:cs="Arial"/>
          <w:bCs/>
          <w:sz w:val="18"/>
          <w:szCs w:val="22"/>
        </w:rPr>
      </w:pPr>
      <w:r w:rsidRPr="00774164">
        <w:rPr>
          <w:rFonts w:ascii="Arial" w:hAnsi="Arial" w:cs="Arial"/>
          <w:sz w:val="18"/>
          <w:szCs w:val="22"/>
        </w:rPr>
        <w:t>Con il marchio MEYLE, la MEYLE AG sviluppa, produ</w:t>
      </w:r>
      <w:r>
        <w:rPr>
          <w:rFonts w:ascii="Arial" w:hAnsi="Arial" w:cs="Arial"/>
          <w:sz w:val="18"/>
          <w:szCs w:val="22"/>
        </w:rPr>
        <w:t>c</w:t>
      </w:r>
      <w:r w:rsidRPr="00774164">
        <w:rPr>
          <w:rFonts w:ascii="Arial" w:hAnsi="Arial" w:cs="Arial"/>
          <w:sz w:val="18"/>
          <w:szCs w:val="22"/>
        </w:rPr>
        <w:t xml:space="preserve">e e distribuisce ricambi di alta qualità per automobili, </w:t>
      </w:r>
      <w:r w:rsidRPr="00AE3552">
        <w:rPr>
          <w:rFonts w:ascii="Arial" w:hAnsi="Arial" w:cs="Arial"/>
          <w:sz w:val="18"/>
          <w:szCs w:val="22"/>
        </w:rPr>
        <w:t xml:space="preserve">furgoni e camion per il mercato libero dei ricambi. Il marchio MEYLE comprende </w:t>
      </w:r>
      <w:r>
        <w:rPr>
          <w:rStyle w:val="Fett"/>
          <w:rFonts w:ascii="Arial" w:hAnsi="Arial" w:cs="Arial"/>
          <w:sz w:val="18"/>
          <w:szCs w:val="22"/>
        </w:rPr>
        <w:t>tre linee di produzione: MEYLE</w:t>
      </w:r>
      <w:r>
        <w:rPr>
          <w:rStyle w:val="Fett"/>
          <w:rFonts w:ascii="Arial" w:hAnsi="Arial" w:cs="Arial"/>
          <w:sz w:val="18"/>
          <w:szCs w:val="22"/>
        </w:rPr>
        <w:noBreakHyphen/>
      </w:r>
      <w:r w:rsidRPr="00AE3552">
        <w:rPr>
          <w:rStyle w:val="Fett"/>
          <w:rFonts w:ascii="Arial" w:hAnsi="Arial" w:cs="Arial"/>
          <w:sz w:val="18"/>
          <w:szCs w:val="22"/>
        </w:rPr>
        <w:t xml:space="preserve">ORIGINAL, MEYLE-PD e MEYLE-HD. </w:t>
      </w:r>
      <w:r w:rsidRPr="00AE3552">
        <w:rPr>
          <w:rFonts w:ascii="Arial" w:hAnsi="Arial" w:cs="Arial"/>
          <w:sz w:val="18"/>
          <w:szCs w:val="22"/>
        </w:rPr>
        <w:t>MEYLE</w:t>
      </w:r>
      <w:r w:rsidRPr="00774164">
        <w:rPr>
          <w:rFonts w:ascii="Arial" w:hAnsi="Arial" w:cs="Arial"/>
          <w:sz w:val="18"/>
          <w:szCs w:val="22"/>
        </w:rPr>
        <w:t xml:space="preserve"> AG ha la sua sede central</w:t>
      </w:r>
      <w:r>
        <w:rPr>
          <w:rFonts w:ascii="Arial" w:hAnsi="Arial" w:cs="Arial"/>
          <w:sz w:val="18"/>
          <w:szCs w:val="22"/>
        </w:rPr>
        <w:t>e ad Amburgo ed è attiva in 120 </w:t>
      </w:r>
      <w:r>
        <w:rPr>
          <w:rFonts w:ascii="Arial" w:hAnsi="Arial" w:cs="Arial"/>
          <w:sz w:val="18"/>
          <w:szCs w:val="22"/>
        </w:rPr>
        <w:t>Paesi</w:t>
      </w:r>
      <w:r w:rsidRPr="00774164">
        <w:rPr>
          <w:rFonts w:ascii="Arial" w:hAnsi="Arial" w:cs="Arial"/>
          <w:sz w:val="18"/>
          <w:szCs w:val="22"/>
        </w:rPr>
        <w:t xml:space="preserve">. Oltre al modernissimo centro logistico di Amburgo, </w:t>
      </w:r>
      <w:r>
        <w:rPr>
          <w:rFonts w:ascii="Arial" w:hAnsi="Arial" w:cs="Arial"/>
          <w:sz w:val="18"/>
          <w:szCs w:val="22"/>
        </w:rPr>
        <w:t xml:space="preserve">il gruppo conta in </w:t>
      </w:r>
      <w:proofErr w:type="gramStart"/>
      <w:r>
        <w:rPr>
          <w:rFonts w:ascii="Arial" w:hAnsi="Arial" w:cs="Arial"/>
          <w:sz w:val="18"/>
          <w:szCs w:val="22"/>
        </w:rPr>
        <w:t xml:space="preserve">tutto il mondo </w:t>
      </w:r>
      <w:r w:rsidRPr="00774164">
        <w:rPr>
          <w:rFonts w:ascii="Arial" w:hAnsi="Arial" w:cs="Arial"/>
          <w:sz w:val="18"/>
          <w:szCs w:val="22"/>
        </w:rPr>
        <w:t>società controllate</w:t>
      </w:r>
      <w:proofErr w:type="gramEnd"/>
      <w:r w:rsidRPr="00774164">
        <w:rPr>
          <w:rFonts w:ascii="Arial" w:hAnsi="Arial" w:cs="Arial"/>
          <w:sz w:val="18"/>
          <w:szCs w:val="22"/>
        </w:rPr>
        <w:t xml:space="preserve"> </w:t>
      </w:r>
      <w:r>
        <w:rPr>
          <w:rFonts w:ascii="Arial" w:hAnsi="Arial" w:cs="Arial"/>
          <w:sz w:val="18"/>
          <w:szCs w:val="22"/>
        </w:rPr>
        <w:t>e sedi di produzione</w:t>
      </w:r>
      <w:r w:rsidRPr="00774164">
        <w:rPr>
          <w:rFonts w:ascii="Arial" w:hAnsi="Arial" w:cs="Arial"/>
          <w:sz w:val="18"/>
          <w:szCs w:val="22"/>
        </w:rPr>
        <w:t xml:space="preserve">. MEYLE AG è un’azienda del gruppo Wulf </w:t>
      </w:r>
      <w:proofErr w:type="spellStart"/>
      <w:r w:rsidRPr="00774164">
        <w:rPr>
          <w:rFonts w:ascii="Arial" w:hAnsi="Arial" w:cs="Arial"/>
          <w:sz w:val="18"/>
          <w:szCs w:val="22"/>
        </w:rPr>
        <w:t>Gaertner</w:t>
      </w:r>
      <w:proofErr w:type="spellEnd"/>
      <w:r w:rsidRPr="00774164">
        <w:rPr>
          <w:rFonts w:ascii="Arial" w:hAnsi="Arial" w:cs="Arial"/>
          <w:sz w:val="18"/>
          <w:szCs w:val="22"/>
        </w:rPr>
        <w:t xml:space="preserve"> </w:t>
      </w:r>
      <w:proofErr w:type="spellStart"/>
      <w:r w:rsidRPr="00774164">
        <w:rPr>
          <w:rFonts w:ascii="Arial" w:hAnsi="Arial" w:cs="Arial"/>
          <w:sz w:val="18"/>
          <w:szCs w:val="22"/>
        </w:rPr>
        <w:t>Autoparts</w:t>
      </w:r>
      <w:proofErr w:type="spellEnd"/>
      <w:r w:rsidRPr="00774164">
        <w:rPr>
          <w:rFonts w:ascii="Arial" w:hAnsi="Arial" w:cs="Arial"/>
          <w:sz w:val="18"/>
          <w:szCs w:val="22"/>
        </w:rPr>
        <w:t xml:space="preserve"> AG, che nel 2018 ha festeggiato il proprio 60° anniversario. Fin dalla sua fondazione nel 1958 come Wulf </w:t>
      </w:r>
      <w:proofErr w:type="spellStart"/>
      <w:r w:rsidRPr="00774164">
        <w:rPr>
          <w:rFonts w:ascii="Arial" w:hAnsi="Arial" w:cs="Arial"/>
          <w:sz w:val="18"/>
          <w:szCs w:val="22"/>
        </w:rPr>
        <w:t>Gaertner</w:t>
      </w:r>
      <w:proofErr w:type="spellEnd"/>
      <w:r w:rsidRPr="00774164">
        <w:rPr>
          <w:rFonts w:ascii="Arial" w:hAnsi="Arial" w:cs="Arial"/>
          <w:sz w:val="18"/>
          <w:szCs w:val="22"/>
        </w:rPr>
        <w:t xml:space="preserve"> </w:t>
      </w:r>
      <w:proofErr w:type="spellStart"/>
      <w:r w:rsidRPr="00774164">
        <w:rPr>
          <w:rFonts w:ascii="Arial" w:hAnsi="Arial" w:cs="Arial"/>
          <w:sz w:val="18"/>
          <w:szCs w:val="22"/>
        </w:rPr>
        <w:t>GmbH</w:t>
      </w:r>
      <w:proofErr w:type="spellEnd"/>
      <w:r w:rsidRPr="00774164">
        <w:rPr>
          <w:rFonts w:ascii="Arial" w:hAnsi="Arial" w:cs="Arial"/>
          <w:sz w:val="18"/>
          <w:szCs w:val="22"/>
        </w:rPr>
        <w:t xml:space="preserve">, quest’azienda familiare dà un particolare valore </w:t>
      </w:r>
      <w:proofErr w:type="gramStart"/>
      <w:r w:rsidRPr="00774164">
        <w:rPr>
          <w:rFonts w:ascii="Arial" w:hAnsi="Arial" w:cs="Arial"/>
          <w:sz w:val="18"/>
          <w:szCs w:val="22"/>
        </w:rPr>
        <w:t>ad</w:t>
      </w:r>
      <w:proofErr w:type="gramEnd"/>
      <w:r w:rsidRPr="00774164">
        <w:rPr>
          <w:rFonts w:ascii="Arial" w:hAnsi="Arial" w:cs="Arial"/>
          <w:sz w:val="18"/>
          <w:szCs w:val="22"/>
        </w:rPr>
        <w:t xml:space="preserve"> un atteggiamento responsabile nei confronti di </w:t>
      </w:r>
      <w:r>
        <w:rPr>
          <w:rFonts w:ascii="Arial" w:hAnsi="Arial" w:cs="Arial"/>
          <w:sz w:val="18"/>
          <w:szCs w:val="22"/>
        </w:rPr>
        <w:t>dipendenti, clienti e partner ed alla creazione di rapporti commerciali di lungo periodo</w:t>
      </w:r>
      <w:r w:rsidRPr="00774164">
        <w:rPr>
          <w:rFonts w:ascii="Arial" w:hAnsi="Arial" w:cs="Arial"/>
          <w:sz w:val="18"/>
          <w:szCs w:val="22"/>
        </w:rPr>
        <w:t>.</w:t>
      </w:r>
      <w:r w:rsidRPr="00774164">
        <w:rPr>
          <w:rFonts w:ascii="Arial" w:hAnsi="Arial" w:cs="Arial"/>
          <w:sz w:val="18"/>
          <w:szCs w:val="22"/>
        </w:rPr>
        <w:tab/>
      </w:r>
    </w:p>
    <w:p w:rsidR="00B03DC3" w:rsidRPr="00774164" w:rsidRDefault="00B03DC3" w:rsidP="00B03DC3">
      <w:pPr>
        <w:autoSpaceDE w:val="0"/>
        <w:autoSpaceDN w:val="0"/>
        <w:adjustRightInd w:val="0"/>
        <w:spacing w:after="240" w:line="360" w:lineRule="auto"/>
        <w:jc w:val="both"/>
        <w:rPr>
          <w:rFonts w:ascii="Arial" w:hAnsi="Arial" w:cs="Arial"/>
          <w:sz w:val="18"/>
          <w:szCs w:val="22"/>
        </w:rPr>
      </w:pPr>
      <w:r w:rsidRPr="00774164">
        <w:rPr>
          <w:rFonts w:ascii="Arial" w:hAnsi="Arial" w:cs="Arial"/>
          <w:b/>
          <w:sz w:val="18"/>
          <w:szCs w:val="22"/>
        </w:rPr>
        <w:t>M</w:t>
      </w:r>
      <w:r>
        <w:rPr>
          <w:rFonts w:ascii="Arial" w:hAnsi="Arial" w:cs="Arial"/>
          <w:b/>
          <w:sz w:val="18"/>
          <w:szCs w:val="22"/>
        </w:rPr>
        <w:t>EYLE</w:t>
      </w:r>
      <w:r w:rsidRPr="00774164">
        <w:rPr>
          <w:rFonts w:ascii="Arial" w:hAnsi="Arial" w:cs="Arial"/>
          <w:b/>
          <w:sz w:val="18"/>
          <w:szCs w:val="22"/>
        </w:rPr>
        <w:t>-HD</w:t>
      </w:r>
      <w:r w:rsidRPr="00774164">
        <w:rPr>
          <w:rFonts w:ascii="Arial" w:hAnsi="Arial" w:cs="Arial"/>
          <w:b/>
          <w:sz w:val="18"/>
          <w:szCs w:val="22"/>
        </w:rPr>
        <w:tab/>
      </w:r>
      <w:r w:rsidRPr="00774164">
        <w:rPr>
          <w:rFonts w:ascii="Arial" w:hAnsi="Arial" w:cs="Arial"/>
        </w:rPr>
        <w:br/>
      </w:r>
      <w:r w:rsidRPr="00AE3552">
        <w:rPr>
          <w:rFonts w:ascii="Arial" w:hAnsi="Arial" w:cs="Arial"/>
          <w:sz w:val="18"/>
          <w:szCs w:val="22"/>
        </w:rPr>
        <w:t>https://www.meyle.com/die-marke-meyle/produktlinien/meyle-hd/</w:t>
      </w:r>
      <w:proofErr w:type="gramStart"/>
      <w:r w:rsidRPr="00774164">
        <w:rPr>
          <w:rFonts w:ascii="Arial" w:hAnsi="Arial" w:cs="Arial"/>
          <w:sz w:val="18"/>
          <w:szCs w:val="22"/>
        </w:rPr>
        <w:t xml:space="preserve">   </w:t>
      </w:r>
      <w:proofErr w:type="gramEnd"/>
    </w:p>
    <w:p w:rsidR="00B03DC3" w:rsidRPr="00AE3552" w:rsidRDefault="00B03DC3" w:rsidP="00B03DC3">
      <w:pPr>
        <w:autoSpaceDE w:val="0"/>
        <w:autoSpaceDN w:val="0"/>
        <w:adjustRightInd w:val="0"/>
        <w:spacing w:after="240" w:line="360" w:lineRule="auto"/>
        <w:jc w:val="both"/>
        <w:rPr>
          <w:rFonts w:ascii="Arial" w:hAnsi="Arial" w:cs="Arial"/>
          <w:b/>
          <w:sz w:val="18"/>
          <w:szCs w:val="22"/>
        </w:rPr>
      </w:pPr>
      <w:r w:rsidRPr="00AE3552">
        <w:rPr>
          <w:rFonts w:ascii="Arial" w:hAnsi="Arial" w:cs="Arial"/>
          <w:b/>
          <w:sz w:val="18"/>
          <w:szCs w:val="22"/>
        </w:rPr>
        <w:t xml:space="preserve">BOGE </w:t>
      </w:r>
      <w:proofErr w:type="spellStart"/>
      <w:r w:rsidRPr="00AE3552">
        <w:rPr>
          <w:rFonts w:ascii="Arial" w:hAnsi="Arial" w:cs="Arial"/>
          <w:b/>
          <w:sz w:val="18"/>
          <w:szCs w:val="22"/>
        </w:rPr>
        <w:t>Rubber</w:t>
      </w:r>
      <w:proofErr w:type="spellEnd"/>
      <w:r w:rsidRPr="00AE3552">
        <w:rPr>
          <w:rFonts w:ascii="Arial" w:hAnsi="Arial" w:cs="Arial"/>
          <w:b/>
          <w:sz w:val="18"/>
          <w:szCs w:val="22"/>
        </w:rPr>
        <w:t xml:space="preserve"> &amp; </w:t>
      </w:r>
      <w:proofErr w:type="spellStart"/>
      <w:r w:rsidRPr="00AE3552">
        <w:rPr>
          <w:rFonts w:ascii="Arial" w:hAnsi="Arial" w:cs="Arial"/>
          <w:b/>
          <w:sz w:val="18"/>
          <w:szCs w:val="22"/>
        </w:rPr>
        <w:t>Plastics</w:t>
      </w:r>
      <w:proofErr w:type="spellEnd"/>
    </w:p>
    <w:p w:rsidR="00B03DC3" w:rsidRDefault="00B03DC3" w:rsidP="00B03DC3">
      <w:pPr>
        <w:autoSpaceDE w:val="0"/>
        <w:autoSpaceDN w:val="0"/>
        <w:adjustRightInd w:val="0"/>
        <w:spacing w:after="240" w:line="360" w:lineRule="auto"/>
        <w:jc w:val="both"/>
        <w:rPr>
          <w:rFonts w:ascii="Arial" w:hAnsi="Arial" w:cs="Arial"/>
          <w:bCs/>
          <w:sz w:val="18"/>
          <w:szCs w:val="22"/>
        </w:rPr>
      </w:pPr>
      <w:r w:rsidRPr="00774164">
        <w:rPr>
          <w:rFonts w:ascii="Arial" w:hAnsi="Arial" w:cs="Arial"/>
          <w:bCs/>
          <w:sz w:val="18"/>
          <w:szCs w:val="22"/>
        </w:rPr>
        <w:t xml:space="preserve">Il BOGE </w:t>
      </w:r>
      <w:proofErr w:type="spellStart"/>
      <w:r w:rsidRPr="00774164">
        <w:rPr>
          <w:rFonts w:ascii="Arial" w:hAnsi="Arial" w:cs="Arial"/>
          <w:bCs/>
          <w:sz w:val="18"/>
          <w:szCs w:val="22"/>
        </w:rPr>
        <w:t>Rubber</w:t>
      </w:r>
      <w:proofErr w:type="spellEnd"/>
      <w:r w:rsidRPr="00774164">
        <w:rPr>
          <w:rFonts w:ascii="Arial" w:hAnsi="Arial" w:cs="Arial"/>
          <w:bCs/>
          <w:sz w:val="18"/>
          <w:szCs w:val="22"/>
        </w:rPr>
        <w:t xml:space="preserve"> &amp; </w:t>
      </w:r>
      <w:proofErr w:type="spellStart"/>
      <w:r w:rsidRPr="00774164">
        <w:rPr>
          <w:rFonts w:ascii="Arial" w:hAnsi="Arial" w:cs="Arial"/>
          <w:bCs/>
          <w:sz w:val="18"/>
          <w:szCs w:val="22"/>
        </w:rPr>
        <w:t>Plastics</w:t>
      </w:r>
      <w:proofErr w:type="spellEnd"/>
      <w:r w:rsidRPr="00774164">
        <w:rPr>
          <w:rFonts w:ascii="Arial" w:hAnsi="Arial" w:cs="Arial"/>
          <w:bCs/>
          <w:sz w:val="18"/>
          <w:szCs w:val="22"/>
        </w:rPr>
        <w:t xml:space="preserve"> Group, un leader globale nella tecnologia degli ammortizzatori e delle soluzioni </w:t>
      </w:r>
      <w:proofErr w:type="gramStart"/>
      <w:r w:rsidRPr="00774164">
        <w:rPr>
          <w:rFonts w:ascii="Arial" w:hAnsi="Arial" w:cs="Arial"/>
          <w:bCs/>
          <w:sz w:val="18"/>
          <w:szCs w:val="22"/>
        </w:rPr>
        <w:t>in</w:t>
      </w:r>
      <w:proofErr w:type="gramEnd"/>
      <w:r w:rsidRPr="00774164">
        <w:rPr>
          <w:rFonts w:ascii="Arial" w:hAnsi="Arial" w:cs="Arial"/>
          <w:bCs/>
          <w:sz w:val="18"/>
          <w:szCs w:val="22"/>
        </w:rPr>
        <w:t xml:space="preserve"> plastica per l’industria automobilistica, genera con circa 4.200 </w:t>
      </w:r>
      <w:r>
        <w:rPr>
          <w:rFonts w:ascii="Arial" w:hAnsi="Arial" w:cs="Arial"/>
          <w:bCs/>
          <w:sz w:val="18"/>
          <w:szCs w:val="22"/>
        </w:rPr>
        <w:t xml:space="preserve">dipendenti un fatturato consolidato di </w:t>
      </w:r>
      <w:proofErr w:type="spellStart"/>
      <w:r w:rsidRPr="00774164">
        <w:rPr>
          <w:rFonts w:ascii="Arial" w:hAnsi="Arial" w:cs="Arial"/>
          <w:bCs/>
          <w:sz w:val="18"/>
          <w:szCs w:val="22"/>
        </w:rPr>
        <w:t>ca</w:t>
      </w:r>
      <w:proofErr w:type="spellEnd"/>
      <w:r w:rsidRPr="00774164">
        <w:rPr>
          <w:rFonts w:ascii="Arial" w:hAnsi="Arial" w:cs="Arial"/>
          <w:bCs/>
          <w:sz w:val="18"/>
          <w:szCs w:val="22"/>
        </w:rPr>
        <w:t xml:space="preserve">. 829 </w:t>
      </w:r>
      <w:r>
        <w:rPr>
          <w:rFonts w:ascii="Arial" w:hAnsi="Arial" w:cs="Arial"/>
          <w:bCs/>
          <w:sz w:val="18"/>
          <w:szCs w:val="22"/>
        </w:rPr>
        <w:t xml:space="preserve">milioni di </w:t>
      </w:r>
      <w:r w:rsidRPr="00774164">
        <w:rPr>
          <w:rFonts w:ascii="Arial" w:hAnsi="Arial" w:cs="Arial"/>
          <w:bCs/>
          <w:sz w:val="18"/>
          <w:szCs w:val="22"/>
        </w:rPr>
        <w:t>Euro (</w:t>
      </w:r>
      <w:r>
        <w:rPr>
          <w:rFonts w:ascii="Arial" w:hAnsi="Arial" w:cs="Arial"/>
          <w:bCs/>
          <w:sz w:val="18"/>
          <w:szCs w:val="22"/>
        </w:rPr>
        <w:t xml:space="preserve">anno contabile </w:t>
      </w:r>
      <w:r w:rsidRPr="00774164">
        <w:rPr>
          <w:rFonts w:ascii="Arial" w:hAnsi="Arial" w:cs="Arial"/>
          <w:bCs/>
          <w:sz w:val="18"/>
          <w:szCs w:val="22"/>
        </w:rPr>
        <w:t xml:space="preserve">2017). </w:t>
      </w:r>
      <w:r>
        <w:rPr>
          <w:rFonts w:ascii="Arial" w:hAnsi="Arial" w:cs="Arial"/>
          <w:bCs/>
          <w:sz w:val="18"/>
          <w:szCs w:val="22"/>
        </w:rPr>
        <w:t>Compresa la</w:t>
      </w:r>
      <w:r w:rsidRPr="00774164">
        <w:rPr>
          <w:rFonts w:ascii="Arial" w:hAnsi="Arial" w:cs="Arial"/>
          <w:bCs/>
          <w:sz w:val="18"/>
          <w:szCs w:val="22"/>
        </w:rPr>
        <w:t xml:space="preserve"> sede centrale a Damme (</w:t>
      </w:r>
      <w:r>
        <w:rPr>
          <w:rFonts w:ascii="Arial" w:hAnsi="Arial" w:cs="Arial"/>
          <w:bCs/>
          <w:sz w:val="18"/>
          <w:szCs w:val="22"/>
        </w:rPr>
        <w:t>Germania), l’azienda conta undici sedi in tutto il mondo</w:t>
      </w:r>
      <w:r w:rsidRPr="00774164">
        <w:rPr>
          <w:rFonts w:ascii="Arial" w:hAnsi="Arial" w:cs="Arial"/>
          <w:bCs/>
          <w:sz w:val="18"/>
          <w:szCs w:val="22"/>
        </w:rPr>
        <w:t xml:space="preserve"> - Damme, </w:t>
      </w:r>
      <w:proofErr w:type="spellStart"/>
      <w:r w:rsidRPr="00774164">
        <w:rPr>
          <w:rFonts w:ascii="Arial" w:hAnsi="Arial" w:cs="Arial"/>
          <w:bCs/>
          <w:sz w:val="18"/>
          <w:szCs w:val="22"/>
        </w:rPr>
        <w:t>Simmern</w:t>
      </w:r>
      <w:proofErr w:type="spellEnd"/>
      <w:r w:rsidRPr="00774164">
        <w:rPr>
          <w:rFonts w:ascii="Arial" w:hAnsi="Arial" w:cs="Arial"/>
          <w:bCs/>
          <w:sz w:val="18"/>
          <w:szCs w:val="22"/>
        </w:rPr>
        <w:t>, Bonn (</w:t>
      </w:r>
      <w:r>
        <w:rPr>
          <w:rFonts w:ascii="Arial" w:hAnsi="Arial" w:cs="Arial"/>
          <w:bCs/>
          <w:sz w:val="18"/>
          <w:szCs w:val="22"/>
        </w:rPr>
        <w:t>tutte in Germania</w:t>
      </w:r>
      <w:r w:rsidRPr="00774164">
        <w:rPr>
          <w:rFonts w:ascii="Arial" w:hAnsi="Arial" w:cs="Arial"/>
          <w:bCs/>
          <w:sz w:val="18"/>
          <w:szCs w:val="22"/>
        </w:rPr>
        <w:t xml:space="preserve">), </w:t>
      </w:r>
      <w:proofErr w:type="spellStart"/>
      <w:r w:rsidRPr="00774164">
        <w:rPr>
          <w:rFonts w:ascii="Arial" w:hAnsi="Arial" w:cs="Arial"/>
          <w:bCs/>
          <w:sz w:val="18"/>
          <w:szCs w:val="22"/>
        </w:rPr>
        <w:t>Trnava</w:t>
      </w:r>
      <w:proofErr w:type="spellEnd"/>
      <w:r w:rsidRPr="00774164">
        <w:rPr>
          <w:rFonts w:ascii="Arial" w:hAnsi="Arial" w:cs="Arial"/>
          <w:bCs/>
          <w:sz w:val="18"/>
          <w:szCs w:val="22"/>
        </w:rPr>
        <w:t xml:space="preserve"> (Slo</w:t>
      </w:r>
      <w:r>
        <w:rPr>
          <w:rFonts w:ascii="Arial" w:hAnsi="Arial" w:cs="Arial"/>
          <w:bCs/>
          <w:sz w:val="18"/>
          <w:szCs w:val="22"/>
        </w:rPr>
        <w:t>vacchia</w:t>
      </w:r>
      <w:r w:rsidRPr="00774164">
        <w:rPr>
          <w:rFonts w:ascii="Arial" w:hAnsi="Arial" w:cs="Arial"/>
          <w:bCs/>
          <w:sz w:val="18"/>
          <w:szCs w:val="22"/>
        </w:rPr>
        <w:t xml:space="preserve">), </w:t>
      </w:r>
      <w:proofErr w:type="spellStart"/>
      <w:r w:rsidRPr="00774164">
        <w:rPr>
          <w:rFonts w:ascii="Arial" w:hAnsi="Arial" w:cs="Arial"/>
          <w:bCs/>
          <w:sz w:val="18"/>
          <w:szCs w:val="22"/>
        </w:rPr>
        <w:t>Fontenay</w:t>
      </w:r>
      <w:proofErr w:type="spellEnd"/>
      <w:r w:rsidRPr="00774164">
        <w:rPr>
          <w:rFonts w:ascii="Arial" w:hAnsi="Arial" w:cs="Arial"/>
          <w:bCs/>
          <w:sz w:val="18"/>
          <w:szCs w:val="22"/>
        </w:rPr>
        <w:t xml:space="preserve"> (Fran</w:t>
      </w:r>
      <w:r>
        <w:rPr>
          <w:rFonts w:ascii="Arial" w:hAnsi="Arial" w:cs="Arial"/>
          <w:bCs/>
          <w:sz w:val="18"/>
          <w:szCs w:val="22"/>
        </w:rPr>
        <w:t>cia), Sorocaba (Brasile</w:t>
      </w:r>
      <w:r w:rsidRPr="00774164">
        <w:rPr>
          <w:rFonts w:ascii="Arial" w:hAnsi="Arial" w:cs="Arial"/>
          <w:bCs/>
          <w:sz w:val="18"/>
          <w:szCs w:val="22"/>
        </w:rPr>
        <w:t xml:space="preserve">), </w:t>
      </w:r>
      <w:proofErr w:type="spellStart"/>
      <w:r w:rsidRPr="00774164">
        <w:rPr>
          <w:rFonts w:ascii="Arial" w:hAnsi="Arial" w:cs="Arial"/>
          <w:bCs/>
          <w:sz w:val="18"/>
          <w:szCs w:val="22"/>
        </w:rPr>
        <w:t>Dingley</w:t>
      </w:r>
      <w:proofErr w:type="spellEnd"/>
      <w:r w:rsidRPr="00774164">
        <w:rPr>
          <w:rFonts w:ascii="Arial" w:hAnsi="Arial" w:cs="Arial"/>
          <w:bCs/>
          <w:sz w:val="18"/>
          <w:szCs w:val="22"/>
        </w:rPr>
        <w:t xml:space="preserve"> (Australi</w:t>
      </w:r>
      <w:r>
        <w:rPr>
          <w:rFonts w:ascii="Arial" w:hAnsi="Arial" w:cs="Arial"/>
          <w:bCs/>
          <w:sz w:val="18"/>
          <w:szCs w:val="22"/>
        </w:rPr>
        <w:t>a</w:t>
      </w:r>
      <w:r w:rsidRPr="00774164">
        <w:rPr>
          <w:rFonts w:ascii="Arial" w:hAnsi="Arial" w:cs="Arial"/>
          <w:bCs/>
          <w:sz w:val="18"/>
          <w:szCs w:val="22"/>
        </w:rPr>
        <w:t xml:space="preserve">), Hebron (USA), </w:t>
      </w:r>
      <w:proofErr w:type="spellStart"/>
      <w:r w:rsidRPr="00774164">
        <w:rPr>
          <w:rFonts w:ascii="Arial" w:hAnsi="Arial" w:cs="Arial"/>
          <w:bCs/>
          <w:sz w:val="18"/>
          <w:szCs w:val="22"/>
        </w:rPr>
        <w:t>Qingpu</w:t>
      </w:r>
      <w:proofErr w:type="spellEnd"/>
      <w:r w:rsidRPr="00774164">
        <w:rPr>
          <w:rFonts w:ascii="Arial" w:hAnsi="Arial" w:cs="Arial"/>
          <w:bCs/>
          <w:sz w:val="18"/>
          <w:szCs w:val="22"/>
        </w:rPr>
        <w:t>, Zhuzhou (</w:t>
      </w:r>
      <w:r>
        <w:rPr>
          <w:rFonts w:ascii="Arial" w:hAnsi="Arial" w:cs="Arial"/>
          <w:bCs/>
          <w:sz w:val="18"/>
          <w:szCs w:val="22"/>
        </w:rPr>
        <w:t xml:space="preserve">entrambe in </w:t>
      </w:r>
      <w:r w:rsidRPr="00774164">
        <w:rPr>
          <w:rFonts w:ascii="Arial" w:hAnsi="Arial" w:cs="Arial"/>
          <w:bCs/>
          <w:sz w:val="18"/>
          <w:szCs w:val="22"/>
        </w:rPr>
        <w:t xml:space="preserve">Cina) </w:t>
      </w:r>
      <w:r>
        <w:rPr>
          <w:rFonts w:ascii="Arial" w:hAnsi="Arial" w:cs="Arial"/>
          <w:bCs/>
          <w:sz w:val="18"/>
          <w:szCs w:val="22"/>
        </w:rPr>
        <w:t>e</w:t>
      </w:r>
      <w:r w:rsidRPr="00774164">
        <w:rPr>
          <w:rFonts w:ascii="Arial" w:hAnsi="Arial" w:cs="Arial"/>
          <w:bCs/>
          <w:sz w:val="18"/>
          <w:szCs w:val="22"/>
        </w:rPr>
        <w:t xml:space="preserve"> San Luis Potosí (Me</w:t>
      </w:r>
      <w:r>
        <w:rPr>
          <w:rFonts w:ascii="Arial" w:hAnsi="Arial" w:cs="Arial"/>
          <w:bCs/>
          <w:sz w:val="18"/>
          <w:szCs w:val="22"/>
        </w:rPr>
        <w:t>ssic</w:t>
      </w:r>
      <w:r w:rsidRPr="00774164">
        <w:rPr>
          <w:rFonts w:ascii="Arial" w:hAnsi="Arial" w:cs="Arial"/>
          <w:bCs/>
          <w:sz w:val="18"/>
          <w:szCs w:val="22"/>
        </w:rPr>
        <w:t xml:space="preserve">o). </w:t>
      </w:r>
      <w:r w:rsidRPr="00CA442C">
        <w:rPr>
          <w:rFonts w:ascii="Arial" w:hAnsi="Arial" w:cs="Arial"/>
          <w:bCs/>
          <w:sz w:val="18"/>
          <w:szCs w:val="22"/>
        </w:rPr>
        <w:t xml:space="preserve">Proprietaria della BOGE </w:t>
      </w:r>
      <w:proofErr w:type="spellStart"/>
      <w:r w:rsidRPr="00CA442C">
        <w:rPr>
          <w:rFonts w:ascii="Arial" w:hAnsi="Arial" w:cs="Arial"/>
          <w:bCs/>
          <w:sz w:val="18"/>
          <w:szCs w:val="22"/>
        </w:rPr>
        <w:t>Rubber</w:t>
      </w:r>
      <w:proofErr w:type="spellEnd"/>
      <w:r w:rsidRPr="00CA442C">
        <w:rPr>
          <w:rFonts w:ascii="Arial" w:hAnsi="Arial" w:cs="Arial"/>
          <w:bCs/>
          <w:sz w:val="18"/>
          <w:szCs w:val="22"/>
        </w:rPr>
        <w:t xml:space="preserve"> &amp; </w:t>
      </w:r>
      <w:proofErr w:type="spellStart"/>
      <w:r w:rsidRPr="00CA442C">
        <w:rPr>
          <w:rFonts w:ascii="Arial" w:hAnsi="Arial" w:cs="Arial"/>
          <w:bCs/>
          <w:sz w:val="18"/>
          <w:szCs w:val="22"/>
        </w:rPr>
        <w:t>Plastics</w:t>
      </w:r>
      <w:proofErr w:type="spellEnd"/>
      <w:r w:rsidRPr="00CA442C">
        <w:rPr>
          <w:rFonts w:ascii="Arial" w:hAnsi="Arial" w:cs="Arial"/>
          <w:bCs/>
          <w:sz w:val="18"/>
          <w:szCs w:val="22"/>
        </w:rPr>
        <w:t xml:space="preserve"> è la cinese Zhuzhou Times New </w:t>
      </w:r>
      <w:proofErr w:type="spellStart"/>
      <w:r w:rsidRPr="00CA442C">
        <w:rPr>
          <w:rFonts w:ascii="Arial" w:hAnsi="Arial" w:cs="Arial"/>
          <w:bCs/>
          <w:sz w:val="18"/>
          <w:szCs w:val="22"/>
        </w:rPr>
        <w:t>Material</w:t>
      </w:r>
      <w:proofErr w:type="spellEnd"/>
      <w:r w:rsidRPr="00CA442C">
        <w:rPr>
          <w:rFonts w:ascii="Arial" w:hAnsi="Arial" w:cs="Arial"/>
          <w:bCs/>
          <w:sz w:val="18"/>
          <w:szCs w:val="22"/>
        </w:rPr>
        <w:t xml:space="preserve"> Technology Co., Ltd. </w:t>
      </w:r>
      <w:proofErr w:type="gramStart"/>
      <w:r w:rsidRPr="00CA442C">
        <w:rPr>
          <w:rFonts w:ascii="Arial" w:hAnsi="Arial" w:cs="Arial"/>
          <w:bCs/>
          <w:sz w:val="18"/>
          <w:szCs w:val="22"/>
        </w:rPr>
        <w:t>(TMT</w:t>
      </w:r>
      <w:proofErr w:type="gramEnd"/>
      <w:r w:rsidRPr="00CA442C">
        <w:rPr>
          <w:rFonts w:ascii="Arial" w:hAnsi="Arial" w:cs="Arial"/>
          <w:bCs/>
          <w:sz w:val="18"/>
          <w:szCs w:val="22"/>
        </w:rPr>
        <w:t xml:space="preserve">). </w:t>
      </w:r>
      <w:r w:rsidRPr="00F85504">
        <w:rPr>
          <w:rFonts w:ascii="Arial" w:hAnsi="Arial" w:cs="Arial"/>
          <w:bCs/>
          <w:sz w:val="18"/>
          <w:szCs w:val="22"/>
        </w:rPr>
        <w:t xml:space="preserve">TMT è una filiale della China </w:t>
      </w:r>
      <w:proofErr w:type="spellStart"/>
      <w:r w:rsidRPr="00F85504">
        <w:rPr>
          <w:rFonts w:ascii="Arial" w:hAnsi="Arial" w:cs="Arial"/>
          <w:bCs/>
          <w:sz w:val="18"/>
          <w:szCs w:val="22"/>
        </w:rPr>
        <w:t>Railway</w:t>
      </w:r>
      <w:proofErr w:type="spellEnd"/>
      <w:r w:rsidRPr="00F85504">
        <w:rPr>
          <w:rFonts w:ascii="Arial" w:hAnsi="Arial" w:cs="Arial"/>
          <w:bCs/>
          <w:sz w:val="18"/>
          <w:szCs w:val="22"/>
        </w:rPr>
        <w:t xml:space="preserve"> </w:t>
      </w:r>
      <w:proofErr w:type="spellStart"/>
      <w:r w:rsidRPr="00F85504">
        <w:rPr>
          <w:rFonts w:ascii="Arial" w:hAnsi="Arial" w:cs="Arial"/>
          <w:bCs/>
          <w:sz w:val="18"/>
          <w:szCs w:val="22"/>
        </w:rPr>
        <w:t>Rolling</w:t>
      </w:r>
      <w:proofErr w:type="spellEnd"/>
      <w:r w:rsidRPr="00F85504">
        <w:rPr>
          <w:rFonts w:ascii="Arial" w:hAnsi="Arial" w:cs="Arial"/>
          <w:bCs/>
          <w:sz w:val="18"/>
          <w:szCs w:val="22"/>
        </w:rPr>
        <w:t xml:space="preserve"> Stock Corporation Ltd. </w:t>
      </w:r>
      <w:proofErr w:type="gramStart"/>
      <w:r w:rsidRPr="00AE3552">
        <w:rPr>
          <w:rFonts w:ascii="Arial" w:hAnsi="Arial" w:cs="Arial"/>
          <w:bCs/>
          <w:sz w:val="18"/>
          <w:szCs w:val="22"/>
        </w:rPr>
        <w:t>(CRRC</w:t>
      </w:r>
      <w:proofErr w:type="gramEnd"/>
      <w:r w:rsidRPr="00AE3552">
        <w:rPr>
          <w:rFonts w:ascii="Arial" w:hAnsi="Arial" w:cs="Arial"/>
          <w:bCs/>
          <w:sz w:val="18"/>
          <w:szCs w:val="22"/>
        </w:rPr>
        <w:t xml:space="preserve">). </w:t>
      </w:r>
      <w:r w:rsidRPr="00F85504">
        <w:rPr>
          <w:rFonts w:ascii="Arial" w:hAnsi="Arial" w:cs="Arial"/>
          <w:bCs/>
          <w:sz w:val="18"/>
          <w:szCs w:val="22"/>
        </w:rPr>
        <w:t xml:space="preserve">Il gruppo occupa circa </w:t>
      </w:r>
      <w:r>
        <w:rPr>
          <w:rFonts w:ascii="Arial" w:hAnsi="Arial" w:cs="Arial"/>
          <w:bCs/>
          <w:sz w:val="18"/>
          <w:szCs w:val="22"/>
        </w:rPr>
        <w:t>180.000 </w:t>
      </w:r>
      <w:bookmarkStart w:id="0" w:name="_GoBack"/>
      <w:bookmarkEnd w:id="0"/>
      <w:r w:rsidRPr="00F85504">
        <w:rPr>
          <w:rFonts w:ascii="Arial" w:hAnsi="Arial" w:cs="Arial"/>
          <w:bCs/>
          <w:sz w:val="18"/>
          <w:szCs w:val="22"/>
        </w:rPr>
        <w:t>dipendenti.</w:t>
      </w:r>
    </w:p>
    <w:p w:rsidR="00B03DC3" w:rsidRPr="00CA442C" w:rsidRDefault="00B03DC3" w:rsidP="00B03DC3">
      <w:pPr>
        <w:autoSpaceDE w:val="0"/>
        <w:autoSpaceDN w:val="0"/>
        <w:adjustRightInd w:val="0"/>
        <w:spacing w:after="240" w:line="360" w:lineRule="auto"/>
        <w:rPr>
          <w:rFonts w:ascii="Arial" w:hAnsi="Arial" w:cs="Arial"/>
          <w:bCs/>
          <w:sz w:val="18"/>
          <w:szCs w:val="22"/>
        </w:rPr>
      </w:pPr>
      <w:r w:rsidRPr="00F85504">
        <w:rPr>
          <w:rFonts w:ascii="Arial" w:hAnsi="Arial" w:cs="Arial"/>
          <w:bCs/>
          <w:sz w:val="18"/>
          <w:szCs w:val="22"/>
          <w:u w:val="single"/>
        </w:rPr>
        <w:t xml:space="preserve">Contatto per la stampa di MEYLE: </w:t>
      </w:r>
      <w:r w:rsidRPr="00F85504">
        <w:rPr>
          <w:rFonts w:ascii="Arial" w:hAnsi="Arial" w:cs="Arial"/>
          <w:bCs/>
          <w:sz w:val="18"/>
          <w:szCs w:val="22"/>
          <w:u w:val="single"/>
        </w:rPr>
        <w:br/>
      </w:r>
      <w:r w:rsidRPr="00F85504">
        <w:rPr>
          <w:rFonts w:ascii="Arial" w:hAnsi="Arial"/>
          <w:sz w:val="18"/>
        </w:rPr>
        <w:t>Eva Schilling</w:t>
      </w:r>
      <w:r w:rsidRPr="00F85504">
        <w:rPr>
          <w:rFonts w:ascii="Arial" w:hAnsi="Arial" w:cs="Arial"/>
          <w:bCs/>
          <w:sz w:val="18"/>
          <w:szCs w:val="22"/>
        </w:rPr>
        <w:br/>
      </w:r>
      <w:r w:rsidRPr="00CA442C">
        <w:rPr>
          <w:rFonts w:ascii="Arial" w:hAnsi="Arial" w:cs="Arial"/>
          <w:bCs/>
          <w:sz w:val="18"/>
          <w:szCs w:val="22"/>
        </w:rPr>
        <w:t>MEYLE AG</w:t>
      </w:r>
      <w:r w:rsidRPr="00CA442C">
        <w:rPr>
          <w:rFonts w:ascii="Arial" w:hAnsi="Arial" w:cs="Arial"/>
          <w:bCs/>
          <w:sz w:val="18"/>
          <w:szCs w:val="22"/>
        </w:rPr>
        <w:br/>
      </w:r>
      <w:r w:rsidRPr="00CA442C">
        <w:rPr>
          <w:rFonts w:ascii="Arial" w:hAnsi="Arial"/>
          <w:sz w:val="18"/>
        </w:rPr>
        <w:t>Tel</w:t>
      </w:r>
      <w:r w:rsidRPr="00CA442C">
        <w:rPr>
          <w:rFonts w:ascii="Arial" w:hAnsi="Arial" w:cs="Arial"/>
          <w:bCs/>
          <w:sz w:val="18"/>
          <w:szCs w:val="22"/>
        </w:rPr>
        <w:t>.:</w:t>
      </w:r>
      <w:r w:rsidRPr="00CA442C">
        <w:rPr>
          <w:rFonts w:ascii="Arial" w:hAnsi="Arial"/>
          <w:sz w:val="18"/>
        </w:rPr>
        <w:t xml:space="preserve"> </w:t>
      </w:r>
      <w:r>
        <w:rPr>
          <w:rFonts w:ascii="Arial" w:hAnsi="Arial"/>
          <w:sz w:val="18"/>
        </w:rPr>
        <w:tab/>
      </w:r>
      <w:r w:rsidRPr="00CA442C">
        <w:rPr>
          <w:rFonts w:ascii="Arial" w:hAnsi="Arial"/>
          <w:sz w:val="18"/>
        </w:rPr>
        <w:t xml:space="preserve">+49 </w:t>
      </w:r>
      <w:proofErr w:type="gramStart"/>
      <w:r w:rsidRPr="00CA442C">
        <w:rPr>
          <w:rFonts w:ascii="Arial" w:hAnsi="Arial"/>
          <w:sz w:val="18"/>
        </w:rPr>
        <w:t>40</w:t>
      </w:r>
      <w:proofErr w:type="gramEnd"/>
      <w:r w:rsidRPr="00CA442C">
        <w:rPr>
          <w:rFonts w:ascii="Arial" w:hAnsi="Arial"/>
          <w:sz w:val="18"/>
        </w:rPr>
        <w:t xml:space="preserve"> 67506 7425</w:t>
      </w:r>
      <w:r w:rsidRPr="00CA442C">
        <w:rPr>
          <w:rFonts w:ascii="Arial" w:hAnsi="Arial" w:cs="Arial"/>
          <w:bCs/>
          <w:sz w:val="18"/>
          <w:szCs w:val="22"/>
        </w:rPr>
        <w:br/>
      </w:r>
      <w:r w:rsidRPr="00CA442C">
        <w:rPr>
          <w:rFonts w:ascii="Arial" w:hAnsi="Arial"/>
          <w:sz w:val="18"/>
        </w:rPr>
        <w:t xml:space="preserve">E-Mail: </w:t>
      </w:r>
      <w:r>
        <w:rPr>
          <w:rFonts w:ascii="Arial" w:hAnsi="Arial"/>
          <w:sz w:val="18"/>
        </w:rPr>
        <w:tab/>
      </w:r>
      <w:r>
        <w:rPr>
          <w:rFonts w:ascii="Arial" w:hAnsi="Arial" w:cs="Arial"/>
          <w:bCs/>
          <w:sz w:val="18"/>
          <w:szCs w:val="22"/>
        </w:rPr>
        <w:t>eva.schilling@meyle.com</w:t>
      </w:r>
    </w:p>
    <w:p w:rsidR="00B03DC3" w:rsidRPr="00B03DC3" w:rsidRDefault="00B03DC3" w:rsidP="00B03DC3">
      <w:pPr>
        <w:autoSpaceDE w:val="0"/>
        <w:autoSpaceDN w:val="0"/>
        <w:adjustRightInd w:val="0"/>
        <w:spacing w:after="240" w:line="360" w:lineRule="auto"/>
        <w:rPr>
          <w:rFonts w:ascii="Arial" w:hAnsi="Arial" w:cs="Arial"/>
          <w:bCs/>
          <w:sz w:val="18"/>
          <w:szCs w:val="22"/>
        </w:rPr>
      </w:pPr>
      <w:r w:rsidRPr="00F85504">
        <w:rPr>
          <w:rFonts w:ascii="Arial" w:hAnsi="Arial" w:cs="Arial"/>
          <w:bCs/>
          <w:sz w:val="18"/>
          <w:szCs w:val="22"/>
          <w:u w:val="single"/>
        </w:rPr>
        <w:t>Contatto per la stampa d</w:t>
      </w:r>
      <w:r>
        <w:rPr>
          <w:rFonts w:ascii="Arial" w:hAnsi="Arial" w:cs="Arial"/>
          <w:bCs/>
          <w:sz w:val="18"/>
          <w:szCs w:val="22"/>
          <w:u w:val="single"/>
        </w:rPr>
        <w:t>i</w:t>
      </w:r>
      <w:r w:rsidRPr="00F85504">
        <w:rPr>
          <w:rFonts w:ascii="Arial" w:hAnsi="Arial" w:cs="Arial"/>
          <w:bCs/>
          <w:sz w:val="18"/>
          <w:szCs w:val="22"/>
          <w:u w:val="single"/>
        </w:rPr>
        <w:t xml:space="preserve"> BOGE </w:t>
      </w:r>
      <w:proofErr w:type="spellStart"/>
      <w:r w:rsidRPr="00F85504">
        <w:rPr>
          <w:rFonts w:ascii="Arial" w:hAnsi="Arial" w:cs="Arial"/>
          <w:bCs/>
          <w:sz w:val="18"/>
          <w:szCs w:val="22"/>
          <w:u w:val="single"/>
        </w:rPr>
        <w:t>Rubber</w:t>
      </w:r>
      <w:proofErr w:type="spellEnd"/>
      <w:r w:rsidRPr="00F85504">
        <w:rPr>
          <w:rFonts w:ascii="Arial" w:hAnsi="Arial" w:cs="Arial"/>
          <w:bCs/>
          <w:sz w:val="18"/>
          <w:szCs w:val="22"/>
          <w:u w:val="single"/>
        </w:rPr>
        <w:t xml:space="preserve"> &amp; </w:t>
      </w:r>
      <w:proofErr w:type="spellStart"/>
      <w:r w:rsidRPr="00F85504">
        <w:rPr>
          <w:rFonts w:ascii="Arial" w:hAnsi="Arial" w:cs="Arial"/>
          <w:bCs/>
          <w:sz w:val="18"/>
          <w:szCs w:val="22"/>
          <w:u w:val="single"/>
        </w:rPr>
        <w:t>Plastics</w:t>
      </w:r>
      <w:proofErr w:type="spellEnd"/>
      <w:r w:rsidRPr="00F85504">
        <w:rPr>
          <w:rFonts w:ascii="Arial" w:hAnsi="Arial" w:cs="Arial"/>
          <w:bCs/>
          <w:sz w:val="18"/>
          <w:szCs w:val="22"/>
          <w:u w:val="single"/>
        </w:rPr>
        <w:t>:</w:t>
      </w:r>
      <w:r w:rsidRPr="00F85504">
        <w:rPr>
          <w:rFonts w:ascii="Arial" w:hAnsi="Arial" w:cs="Arial"/>
          <w:bCs/>
          <w:sz w:val="18"/>
          <w:szCs w:val="22"/>
          <w:u w:val="single"/>
        </w:rPr>
        <w:br/>
      </w:r>
      <w:proofErr w:type="spellStart"/>
      <w:r w:rsidRPr="00F85504">
        <w:rPr>
          <w:rFonts w:ascii="Arial" w:hAnsi="Arial" w:cs="Arial"/>
          <w:bCs/>
          <w:sz w:val="18"/>
          <w:szCs w:val="22"/>
        </w:rPr>
        <w:t>Cord</w:t>
      </w:r>
      <w:proofErr w:type="spellEnd"/>
      <w:r w:rsidRPr="00F85504">
        <w:rPr>
          <w:rFonts w:ascii="Arial" w:hAnsi="Arial" w:cs="Arial"/>
          <w:bCs/>
          <w:sz w:val="18"/>
          <w:szCs w:val="22"/>
        </w:rPr>
        <w:t xml:space="preserve"> </w:t>
      </w:r>
      <w:proofErr w:type="spellStart"/>
      <w:r w:rsidRPr="00F85504">
        <w:rPr>
          <w:rFonts w:ascii="Arial" w:hAnsi="Arial" w:cs="Arial"/>
          <w:bCs/>
          <w:sz w:val="18"/>
          <w:szCs w:val="22"/>
        </w:rPr>
        <w:t>Witkowski</w:t>
      </w:r>
      <w:proofErr w:type="spellEnd"/>
      <w:r w:rsidRPr="00F85504">
        <w:rPr>
          <w:rFonts w:ascii="Arial" w:hAnsi="Arial" w:cs="Arial"/>
          <w:bCs/>
          <w:sz w:val="18"/>
          <w:szCs w:val="22"/>
        </w:rPr>
        <w:tab/>
      </w:r>
      <w:r w:rsidRPr="00F85504">
        <w:rPr>
          <w:rFonts w:ascii="Arial" w:hAnsi="Arial" w:cs="Arial"/>
          <w:bCs/>
          <w:sz w:val="18"/>
          <w:szCs w:val="22"/>
        </w:rPr>
        <w:tab/>
      </w:r>
      <w:r w:rsidRPr="00F85504">
        <w:rPr>
          <w:rFonts w:ascii="Arial" w:hAnsi="Arial" w:cs="Arial"/>
          <w:bCs/>
          <w:sz w:val="18"/>
          <w:szCs w:val="22"/>
        </w:rPr>
        <w:tab/>
      </w:r>
      <w:r w:rsidRPr="00F85504">
        <w:rPr>
          <w:rFonts w:ascii="Arial" w:hAnsi="Arial" w:cs="Arial"/>
          <w:bCs/>
          <w:sz w:val="18"/>
          <w:szCs w:val="22"/>
        </w:rPr>
        <w:br/>
      </w:r>
      <w:r>
        <w:rPr>
          <w:rFonts w:ascii="Arial" w:hAnsi="Arial" w:cs="Arial"/>
          <w:bCs/>
          <w:sz w:val="18"/>
          <w:szCs w:val="22"/>
        </w:rPr>
        <w:t>Direttore delle Relazioni Pubbliche</w:t>
      </w:r>
      <w:r w:rsidRPr="00F85504">
        <w:rPr>
          <w:rFonts w:ascii="Arial" w:hAnsi="Arial" w:cs="Arial"/>
          <w:bCs/>
          <w:sz w:val="18"/>
          <w:szCs w:val="22"/>
        </w:rPr>
        <w:t xml:space="preserve"> </w:t>
      </w:r>
      <w:r w:rsidRPr="00F85504">
        <w:rPr>
          <w:rFonts w:ascii="Arial" w:hAnsi="Arial" w:cs="Arial"/>
          <w:bCs/>
          <w:sz w:val="18"/>
          <w:szCs w:val="22"/>
        </w:rPr>
        <w:br/>
        <w:t xml:space="preserve">Tel.: </w:t>
      </w:r>
      <w:r>
        <w:rPr>
          <w:rFonts w:ascii="Arial" w:hAnsi="Arial" w:cs="Arial"/>
          <w:bCs/>
          <w:sz w:val="18"/>
          <w:szCs w:val="22"/>
        </w:rPr>
        <w:tab/>
      </w:r>
      <w:r w:rsidRPr="00F85504">
        <w:rPr>
          <w:rFonts w:ascii="Arial" w:hAnsi="Arial" w:cs="Arial"/>
          <w:bCs/>
          <w:sz w:val="18"/>
          <w:szCs w:val="22"/>
        </w:rPr>
        <w:t>+49 5491 91-5600</w:t>
      </w:r>
      <w:r w:rsidRPr="00F85504">
        <w:rPr>
          <w:rFonts w:ascii="Arial" w:hAnsi="Arial" w:cs="Arial"/>
          <w:bCs/>
          <w:sz w:val="18"/>
          <w:szCs w:val="22"/>
        </w:rPr>
        <w:br/>
        <w:t xml:space="preserve">E-Mail: </w:t>
      </w:r>
      <w:r>
        <w:rPr>
          <w:rFonts w:ascii="Arial" w:hAnsi="Arial" w:cs="Arial"/>
          <w:bCs/>
          <w:sz w:val="18"/>
          <w:szCs w:val="22"/>
        </w:rPr>
        <w:tab/>
      </w:r>
      <w:proofErr w:type="gramStart"/>
      <w:r w:rsidRPr="00AE3552">
        <w:rPr>
          <w:rFonts w:ascii="Arial" w:hAnsi="Arial" w:cs="Arial"/>
          <w:sz w:val="18"/>
          <w:szCs w:val="22"/>
        </w:rPr>
        <w:t>cord.witkowski@boge-rubber-plastics.com</w:t>
      </w:r>
      <w:proofErr w:type="gramEnd"/>
    </w:p>
    <w:sectPr w:rsidR="00B03DC3" w:rsidRPr="00B03DC3" w:rsidSect="000C5CAA">
      <w:headerReference w:type="even" r:id="rId10"/>
      <w:headerReference w:type="default" r:id="rId11"/>
      <w:footerReference w:type="default" r:id="rId12"/>
      <w:pgSz w:w="11906" w:h="16838" w:code="9"/>
      <w:pgMar w:top="2875" w:right="1287" w:bottom="1979" w:left="1418" w:header="54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4EFC" w:rsidRDefault="00814EFC">
      <w:r>
        <w:separator/>
      </w:r>
    </w:p>
  </w:endnote>
  <w:endnote w:type="continuationSeparator" w:id="0">
    <w:p w:rsidR="00814EFC" w:rsidRDefault="00814E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heSans-Plain">
    <w:altName w:val="Arial"/>
    <w:panose1 w:val="00000000000000000000"/>
    <w:charset w:val="00"/>
    <w:family w:val="swiss"/>
    <w:notTrueType/>
    <w:pitch w:val="variable"/>
    <w:sig w:usb0="00000001" w:usb1="00000000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37F8" w:rsidRDefault="009137F8" w:rsidP="005B23F3">
    <w:pPr>
      <w:pStyle w:val="Fuzeile"/>
      <w:ind w:firstLine="6372"/>
      <w:rPr>
        <w:rFonts w:ascii="TheSans-Plain" w:hAnsi="TheSans-Plain"/>
        <w:color w:val="AAAAAA"/>
        <w:sz w:val="15"/>
        <w:szCs w:val="15"/>
      </w:rPr>
    </w:pPr>
    <w:r>
      <w:rPr>
        <w:rFonts w:ascii="TheSans-Plain" w:hAnsi="TheSans-Plain"/>
        <w:color w:val="AAAAAA"/>
        <w:sz w:val="15"/>
      </w:rPr>
      <w:t xml:space="preserve">                 </w:t>
    </w:r>
    <w:r>
      <w:rPr>
        <w:rFonts w:ascii="TheSans-Plain" w:hAnsi="TheSans-Plain"/>
        <w:noProof/>
        <w:color w:val="AAAAAA"/>
        <w:sz w:val="15"/>
        <w:szCs w:val="15"/>
        <w:lang w:val="de-DE" w:eastAsia="de-DE" w:bidi="ar-SA"/>
      </w:rPr>
      <w:drawing>
        <wp:inline distT="0" distB="0" distL="0" distR="0">
          <wp:extent cx="5838825" cy="628650"/>
          <wp:effectExtent l="0" t="0" r="9525" b="0"/>
          <wp:docPr id="3" name="Grafik 3" descr="Footer_Allgemeine-Einkaufsbedingung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Footer_Allgemeine-Einkaufsbedingung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882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heSans-Plain" w:hAnsi="TheSans-Plain"/>
        <w:color w:val="AAAAAA"/>
        <w:sz w:val="15"/>
      </w:rPr>
      <w:t xml:space="preserve">                                   </w:t>
    </w:r>
  </w:p>
  <w:p w:rsidR="009137F8" w:rsidRDefault="009137F8" w:rsidP="00826BED">
    <w:pPr>
      <w:pStyle w:val="Fuzeile"/>
      <w:ind w:left="2364" w:firstLine="4008"/>
    </w:pPr>
    <w:r>
      <w:rPr>
        <w:rFonts w:ascii="TheSans-Plain" w:hAnsi="TheSans-Plain"/>
        <w:color w:val="AAAAAA"/>
        <w:sz w:val="15"/>
      </w:rPr>
      <w:t xml:space="preserve">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4EFC" w:rsidRDefault="00814EFC">
      <w:r>
        <w:separator/>
      </w:r>
    </w:p>
  </w:footnote>
  <w:footnote w:type="continuationSeparator" w:id="0">
    <w:p w:rsidR="00814EFC" w:rsidRDefault="00814E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37F8" w:rsidRDefault="009137F8">
    <w:pPr>
      <w:pStyle w:val="Kopfzeile"/>
    </w:pPr>
    <w:r>
      <w:rPr>
        <w:noProof/>
        <w:lang w:val="de-DE" w:eastAsia="de-DE" w:bidi="ar-SA"/>
      </w:rPr>
      <w:drawing>
        <wp:inline distT="0" distB="0" distL="0" distR="0">
          <wp:extent cx="5838825" cy="1057275"/>
          <wp:effectExtent l="0" t="0" r="9525" b="9525"/>
          <wp:docPr id="1" name="Bild 1" descr="Kopf_Pressemitteilung_MEYLE_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opf_Pressemitteilung_MEYLE_d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88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37F8" w:rsidRDefault="000261D5" w:rsidP="005746F0">
    <w:pPr>
      <w:pStyle w:val="Kopfzeile"/>
      <w:tabs>
        <w:tab w:val="clear" w:pos="9072"/>
        <w:tab w:val="right" w:pos="9180"/>
      </w:tabs>
      <w:ind w:hanging="180"/>
    </w:pPr>
    <w:r>
      <w:rPr>
        <w:noProof/>
        <w:lang w:val="de-DE" w:eastAsia="de-DE" w:bidi="ar-SA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439420</wp:posOffset>
              </wp:positionH>
              <wp:positionV relativeFrom="paragraph">
                <wp:posOffset>790575</wp:posOffset>
              </wp:positionV>
              <wp:extent cx="2335530" cy="285750"/>
              <wp:effectExtent l="0" t="0" r="0" b="0"/>
              <wp:wrapNone/>
              <wp:docPr id="4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553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137F8" w:rsidRPr="00BA49EF" w:rsidRDefault="009137F8" w:rsidP="008E4750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Cs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FFFFFF"/>
                            </w:rPr>
                            <w:t>Comunicato stampa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34.6pt;margin-top:62.25pt;width:183.9pt;height:22.5pt;z-index:25165772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" filled="f" stroked="f">
              <v:textbox>
                <w:txbxContent>
                  <w:p w:rsidR="009137F8" w:rsidRPr="00BA49EF" w:rsidRDefault="009137F8" w:rsidP="008E4750">
                    <w:pPr>
                      <w:rPr>
                        <w:rFonts w:ascii="Arial" w:hAnsi="Arial" w:cs="Arial"/>
                        <w:b/>
                        <w:color w:val="FFFFFF"/>
                        <w:szCs w:val="20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</w:rPr>
                      <w:t>Comunicato stampa</w:t>
                    </w:r>
                  </w:p>
                </w:txbxContent>
              </v:textbox>
            </v:shape>
          </w:pict>
        </mc:Fallback>
      </mc:AlternateContent>
    </w:r>
    <w:r>
      <w:t xml:space="preserve">        </w:t>
    </w:r>
    <w:r>
      <w:rPr>
        <w:noProof/>
        <w:lang w:val="de-DE" w:eastAsia="de-DE" w:bidi="ar-SA"/>
      </w:rPr>
      <w:drawing>
        <wp:inline distT="0" distB="0" distL="0" distR="0">
          <wp:extent cx="5848350" cy="1047750"/>
          <wp:effectExtent l="0" t="0" r="0" b="0"/>
          <wp:docPr id="2" name="Grafik 0" descr="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8350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225.75pt;height:96pt" o:bullet="t">
        <v:imagedata r:id="rId1" o:title=""/>
      </v:shape>
    </w:pict>
  </w:numPicBullet>
  <w:abstractNum w:abstractNumId="0">
    <w:nsid w:val="07FD25AD"/>
    <w:multiLevelType w:val="hybridMultilevel"/>
    <w:tmpl w:val="4D44992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103CEB"/>
    <w:multiLevelType w:val="hybridMultilevel"/>
    <w:tmpl w:val="ABD217C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4A22DC"/>
    <w:multiLevelType w:val="hybridMultilevel"/>
    <w:tmpl w:val="2D043AF8"/>
    <w:lvl w:ilvl="0" w:tplc="04070001">
      <w:start w:val="1"/>
      <w:numFmt w:val="bullet"/>
      <w:lvlText w:val=""/>
      <w:lvlJc w:val="left"/>
      <w:pPr>
        <w:ind w:left="-70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73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145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17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289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361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433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5052" w:hanging="360"/>
      </w:pPr>
      <w:rPr>
        <w:rFonts w:ascii="Wingdings" w:hAnsi="Wingdings" w:hint="default"/>
      </w:rPr>
    </w:lvl>
  </w:abstractNum>
  <w:abstractNum w:abstractNumId="3">
    <w:nsid w:val="13B06EDE"/>
    <w:multiLevelType w:val="hybridMultilevel"/>
    <w:tmpl w:val="EDEAEE4E"/>
    <w:lvl w:ilvl="0" w:tplc="ECF4F7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1F839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BE695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26E47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E2644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143B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F2C5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84434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0E95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76F37BD"/>
    <w:multiLevelType w:val="hybridMultilevel"/>
    <w:tmpl w:val="3EC09F8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FCA3FF4"/>
    <w:multiLevelType w:val="hybridMultilevel"/>
    <w:tmpl w:val="5E28897C"/>
    <w:lvl w:ilvl="0" w:tplc="BE72C886">
      <w:numFmt w:val="bullet"/>
      <w:lvlText w:val=""/>
      <w:lvlJc w:val="left"/>
      <w:pPr>
        <w:tabs>
          <w:tab w:val="num" w:pos="180"/>
        </w:tabs>
        <w:ind w:left="18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6">
    <w:nsid w:val="23716125"/>
    <w:multiLevelType w:val="hybridMultilevel"/>
    <w:tmpl w:val="C6B498D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EB10F2"/>
    <w:multiLevelType w:val="hybridMultilevel"/>
    <w:tmpl w:val="5F302130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FFC1A41"/>
    <w:multiLevelType w:val="hybridMultilevel"/>
    <w:tmpl w:val="B262F36C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2DD7455"/>
    <w:multiLevelType w:val="hybridMultilevel"/>
    <w:tmpl w:val="4C14176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2F32C3F"/>
    <w:multiLevelType w:val="hybridMultilevel"/>
    <w:tmpl w:val="3064F1E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54E774D"/>
    <w:multiLevelType w:val="hybridMultilevel"/>
    <w:tmpl w:val="85A6AC5A"/>
    <w:lvl w:ilvl="0" w:tplc="B3728E32">
      <w:start w:val="2"/>
      <w:numFmt w:val="bullet"/>
      <w:lvlText w:val="-"/>
      <w:lvlJc w:val="left"/>
      <w:pPr>
        <w:ind w:left="720" w:hanging="360"/>
      </w:pPr>
      <w:rPr>
        <w:rFonts w:ascii="Arial" w:eastAsia="PMingLiU" w:hAnsi="Arial" w:cs="Arial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0423D20"/>
    <w:multiLevelType w:val="hybridMultilevel"/>
    <w:tmpl w:val="5646371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74422C7"/>
    <w:multiLevelType w:val="hybridMultilevel"/>
    <w:tmpl w:val="D4544A78"/>
    <w:lvl w:ilvl="0" w:tplc="4AF40A3C">
      <w:start w:val="1"/>
      <w:numFmt w:val="bullet"/>
      <w:pStyle w:val="FormatvorlageOfiiziellesDokumen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>
    <w:nsid w:val="58C01357"/>
    <w:multiLevelType w:val="hybridMultilevel"/>
    <w:tmpl w:val="58A29B8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93A16BA"/>
    <w:multiLevelType w:val="multilevel"/>
    <w:tmpl w:val="291C9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6C0B34D0"/>
    <w:multiLevelType w:val="hybridMultilevel"/>
    <w:tmpl w:val="A2229794"/>
    <w:lvl w:ilvl="0" w:tplc="AB6CE3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504B4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3EA26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0A4D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5E262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8EDB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6B409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EE8C4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B617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73EC63E1"/>
    <w:multiLevelType w:val="hybridMultilevel"/>
    <w:tmpl w:val="12C43458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D796A85"/>
    <w:multiLevelType w:val="hybridMultilevel"/>
    <w:tmpl w:val="2F2E6B92"/>
    <w:lvl w:ilvl="0" w:tplc="04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7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7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7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7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7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7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13"/>
  </w:num>
  <w:num w:numId="2">
    <w:abstractNumId w:val="5"/>
  </w:num>
  <w:num w:numId="3">
    <w:abstractNumId w:val="13"/>
  </w:num>
  <w:num w:numId="4">
    <w:abstractNumId w:val="13"/>
  </w:num>
  <w:num w:numId="5">
    <w:abstractNumId w:val="4"/>
  </w:num>
  <w:num w:numId="6">
    <w:abstractNumId w:val="9"/>
  </w:num>
  <w:num w:numId="7">
    <w:abstractNumId w:val="12"/>
  </w:num>
  <w:num w:numId="8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</w:num>
  <w:num w:numId="1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8"/>
  </w:num>
  <w:num w:numId="13">
    <w:abstractNumId w:val="2"/>
  </w:num>
  <w:num w:numId="14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</w:num>
  <w:num w:numId="16">
    <w:abstractNumId w:val="0"/>
  </w:num>
  <w:num w:numId="17">
    <w:abstractNumId w:val="1"/>
  </w:num>
  <w:num w:numId="18">
    <w:abstractNumId w:val="14"/>
  </w:num>
  <w:num w:numId="19">
    <w:abstractNumId w:val="8"/>
  </w:num>
  <w:num w:numId="20">
    <w:abstractNumId w:val="16"/>
  </w:num>
  <w:num w:numId="21">
    <w:abstractNumId w:val="3"/>
  </w:num>
  <w:num w:numId="22">
    <w:abstractNumId w:val="6"/>
  </w:num>
  <w:num w:numId="23">
    <w:abstractNumId w:val="10"/>
  </w:num>
  <w:num w:numId="2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>
      <o:colormru v:ext="edit" colors="#004179,#f0f0f0,#4d749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3C7"/>
    <w:rsid w:val="00013CA4"/>
    <w:rsid w:val="00024C05"/>
    <w:rsid w:val="00024C73"/>
    <w:rsid w:val="000261D5"/>
    <w:rsid w:val="0003549D"/>
    <w:rsid w:val="00037B4D"/>
    <w:rsid w:val="00040A90"/>
    <w:rsid w:val="00042CC9"/>
    <w:rsid w:val="00045227"/>
    <w:rsid w:val="00047A9B"/>
    <w:rsid w:val="00052984"/>
    <w:rsid w:val="0006042E"/>
    <w:rsid w:val="00064925"/>
    <w:rsid w:val="000851CE"/>
    <w:rsid w:val="000863D0"/>
    <w:rsid w:val="00093D48"/>
    <w:rsid w:val="00093E9D"/>
    <w:rsid w:val="000A0AC3"/>
    <w:rsid w:val="000A1B6B"/>
    <w:rsid w:val="000A49BD"/>
    <w:rsid w:val="000A548F"/>
    <w:rsid w:val="000C5CAA"/>
    <w:rsid w:val="000F2A14"/>
    <w:rsid w:val="000F3257"/>
    <w:rsid w:val="000F6757"/>
    <w:rsid w:val="0010437D"/>
    <w:rsid w:val="001119AD"/>
    <w:rsid w:val="00114D69"/>
    <w:rsid w:val="0011574E"/>
    <w:rsid w:val="00116783"/>
    <w:rsid w:val="00122CBA"/>
    <w:rsid w:val="00124CB9"/>
    <w:rsid w:val="001273C2"/>
    <w:rsid w:val="001278F5"/>
    <w:rsid w:val="00132624"/>
    <w:rsid w:val="00135004"/>
    <w:rsid w:val="00147D0A"/>
    <w:rsid w:val="00161F58"/>
    <w:rsid w:val="00162E26"/>
    <w:rsid w:val="001709D3"/>
    <w:rsid w:val="00173B62"/>
    <w:rsid w:val="00176BE7"/>
    <w:rsid w:val="00181B56"/>
    <w:rsid w:val="00191BBA"/>
    <w:rsid w:val="00195AC0"/>
    <w:rsid w:val="00195B75"/>
    <w:rsid w:val="00196996"/>
    <w:rsid w:val="00197CEC"/>
    <w:rsid w:val="001A4F78"/>
    <w:rsid w:val="001D1059"/>
    <w:rsid w:val="001D1F26"/>
    <w:rsid w:val="001D5163"/>
    <w:rsid w:val="001D560D"/>
    <w:rsid w:val="001E2394"/>
    <w:rsid w:val="001E2C60"/>
    <w:rsid w:val="002034AF"/>
    <w:rsid w:val="00203850"/>
    <w:rsid w:val="0020706E"/>
    <w:rsid w:val="002077CE"/>
    <w:rsid w:val="002114C6"/>
    <w:rsid w:val="002159DA"/>
    <w:rsid w:val="0021711F"/>
    <w:rsid w:val="002176E4"/>
    <w:rsid w:val="00232B85"/>
    <w:rsid w:val="00236B43"/>
    <w:rsid w:val="00245D24"/>
    <w:rsid w:val="002461D9"/>
    <w:rsid w:val="00251551"/>
    <w:rsid w:val="0027204A"/>
    <w:rsid w:val="00274864"/>
    <w:rsid w:val="00275E18"/>
    <w:rsid w:val="00277DB1"/>
    <w:rsid w:val="0028757A"/>
    <w:rsid w:val="00287AAB"/>
    <w:rsid w:val="002905CB"/>
    <w:rsid w:val="00292FD0"/>
    <w:rsid w:val="002935ED"/>
    <w:rsid w:val="00294C78"/>
    <w:rsid w:val="002B5FCB"/>
    <w:rsid w:val="002C40AF"/>
    <w:rsid w:val="002C4D28"/>
    <w:rsid w:val="002D4DE1"/>
    <w:rsid w:val="002E334A"/>
    <w:rsid w:val="002E52E6"/>
    <w:rsid w:val="002F5C33"/>
    <w:rsid w:val="00303993"/>
    <w:rsid w:val="00307201"/>
    <w:rsid w:val="00310C64"/>
    <w:rsid w:val="0031256A"/>
    <w:rsid w:val="00313791"/>
    <w:rsid w:val="00335E81"/>
    <w:rsid w:val="0033761E"/>
    <w:rsid w:val="00357AD6"/>
    <w:rsid w:val="0036219E"/>
    <w:rsid w:val="00362ABC"/>
    <w:rsid w:val="00365A72"/>
    <w:rsid w:val="00374EEA"/>
    <w:rsid w:val="003753BA"/>
    <w:rsid w:val="00383989"/>
    <w:rsid w:val="003877C6"/>
    <w:rsid w:val="00396B1E"/>
    <w:rsid w:val="003A00A0"/>
    <w:rsid w:val="003C15FB"/>
    <w:rsid w:val="003C17FC"/>
    <w:rsid w:val="003C3929"/>
    <w:rsid w:val="003D5A0C"/>
    <w:rsid w:val="003E2F20"/>
    <w:rsid w:val="003E5524"/>
    <w:rsid w:val="003E6AA2"/>
    <w:rsid w:val="003F07BB"/>
    <w:rsid w:val="003F6A4D"/>
    <w:rsid w:val="00401046"/>
    <w:rsid w:val="00403343"/>
    <w:rsid w:val="00404330"/>
    <w:rsid w:val="00417C1C"/>
    <w:rsid w:val="004222B5"/>
    <w:rsid w:val="00424C34"/>
    <w:rsid w:val="00437A68"/>
    <w:rsid w:val="00447DA9"/>
    <w:rsid w:val="004521AE"/>
    <w:rsid w:val="00455919"/>
    <w:rsid w:val="00477005"/>
    <w:rsid w:val="00480C58"/>
    <w:rsid w:val="00484BBD"/>
    <w:rsid w:val="00484FB3"/>
    <w:rsid w:val="00493390"/>
    <w:rsid w:val="004933E9"/>
    <w:rsid w:val="00495D09"/>
    <w:rsid w:val="004A622F"/>
    <w:rsid w:val="004B1CDB"/>
    <w:rsid w:val="004B7072"/>
    <w:rsid w:val="004C23BC"/>
    <w:rsid w:val="004C42FC"/>
    <w:rsid w:val="004D0906"/>
    <w:rsid w:val="004E41F0"/>
    <w:rsid w:val="004E4F6A"/>
    <w:rsid w:val="004E5124"/>
    <w:rsid w:val="00506824"/>
    <w:rsid w:val="00513543"/>
    <w:rsid w:val="00521811"/>
    <w:rsid w:val="00521DC2"/>
    <w:rsid w:val="0053327C"/>
    <w:rsid w:val="005363CB"/>
    <w:rsid w:val="00536EEA"/>
    <w:rsid w:val="00564D2E"/>
    <w:rsid w:val="00567CB7"/>
    <w:rsid w:val="00571F5B"/>
    <w:rsid w:val="005738DC"/>
    <w:rsid w:val="005746F0"/>
    <w:rsid w:val="00582FAC"/>
    <w:rsid w:val="0059683A"/>
    <w:rsid w:val="005A69A4"/>
    <w:rsid w:val="005A6CB1"/>
    <w:rsid w:val="005A7A77"/>
    <w:rsid w:val="005B0390"/>
    <w:rsid w:val="005B23F3"/>
    <w:rsid w:val="005B6FC5"/>
    <w:rsid w:val="005C1ADE"/>
    <w:rsid w:val="005C255C"/>
    <w:rsid w:val="005D0B0F"/>
    <w:rsid w:val="005D2407"/>
    <w:rsid w:val="005D4D8B"/>
    <w:rsid w:val="005E4C9B"/>
    <w:rsid w:val="005F31FD"/>
    <w:rsid w:val="005F3B23"/>
    <w:rsid w:val="005F6B70"/>
    <w:rsid w:val="00601CD0"/>
    <w:rsid w:val="00613D54"/>
    <w:rsid w:val="006161A9"/>
    <w:rsid w:val="00617B81"/>
    <w:rsid w:val="0062137C"/>
    <w:rsid w:val="00625532"/>
    <w:rsid w:val="00630E26"/>
    <w:rsid w:val="00636535"/>
    <w:rsid w:val="00641E69"/>
    <w:rsid w:val="0065151E"/>
    <w:rsid w:val="00651B30"/>
    <w:rsid w:val="00652304"/>
    <w:rsid w:val="006749D5"/>
    <w:rsid w:val="00683A1C"/>
    <w:rsid w:val="006848C0"/>
    <w:rsid w:val="0068648B"/>
    <w:rsid w:val="006A0D79"/>
    <w:rsid w:val="006A5F57"/>
    <w:rsid w:val="006B0F8B"/>
    <w:rsid w:val="006B19D2"/>
    <w:rsid w:val="006B1D44"/>
    <w:rsid w:val="006C5A2F"/>
    <w:rsid w:val="006D031E"/>
    <w:rsid w:val="006D1DFD"/>
    <w:rsid w:val="006D56EE"/>
    <w:rsid w:val="006E2242"/>
    <w:rsid w:val="006E36DC"/>
    <w:rsid w:val="006E3860"/>
    <w:rsid w:val="006E5407"/>
    <w:rsid w:val="006E5E7C"/>
    <w:rsid w:val="006E6DBB"/>
    <w:rsid w:val="006F116E"/>
    <w:rsid w:val="006F2A80"/>
    <w:rsid w:val="006F62FD"/>
    <w:rsid w:val="0070383F"/>
    <w:rsid w:val="00722DF7"/>
    <w:rsid w:val="00744DEA"/>
    <w:rsid w:val="00747AE6"/>
    <w:rsid w:val="007510EC"/>
    <w:rsid w:val="007536FB"/>
    <w:rsid w:val="00753CC0"/>
    <w:rsid w:val="00753F44"/>
    <w:rsid w:val="0075625B"/>
    <w:rsid w:val="007563B2"/>
    <w:rsid w:val="007A1836"/>
    <w:rsid w:val="007A2450"/>
    <w:rsid w:val="007B061A"/>
    <w:rsid w:val="007B1A26"/>
    <w:rsid w:val="007B2623"/>
    <w:rsid w:val="007C02BD"/>
    <w:rsid w:val="007C1031"/>
    <w:rsid w:val="007C2F74"/>
    <w:rsid w:val="007C6375"/>
    <w:rsid w:val="007D1345"/>
    <w:rsid w:val="007D2945"/>
    <w:rsid w:val="007D407B"/>
    <w:rsid w:val="007D638A"/>
    <w:rsid w:val="007F0033"/>
    <w:rsid w:val="007F0AA8"/>
    <w:rsid w:val="00804CA0"/>
    <w:rsid w:val="0081334E"/>
    <w:rsid w:val="00814EFC"/>
    <w:rsid w:val="00823337"/>
    <w:rsid w:val="008247AD"/>
    <w:rsid w:val="00826BED"/>
    <w:rsid w:val="0082787A"/>
    <w:rsid w:val="008309E7"/>
    <w:rsid w:val="0083334F"/>
    <w:rsid w:val="008407CD"/>
    <w:rsid w:val="00842227"/>
    <w:rsid w:val="00847DDF"/>
    <w:rsid w:val="00852D89"/>
    <w:rsid w:val="008546D8"/>
    <w:rsid w:val="00862B4F"/>
    <w:rsid w:val="008741DB"/>
    <w:rsid w:val="00886212"/>
    <w:rsid w:val="00886D2E"/>
    <w:rsid w:val="008B04B2"/>
    <w:rsid w:val="008B198B"/>
    <w:rsid w:val="008B5BCC"/>
    <w:rsid w:val="008C4F16"/>
    <w:rsid w:val="008D0F29"/>
    <w:rsid w:val="008D186A"/>
    <w:rsid w:val="008D6B51"/>
    <w:rsid w:val="008D7222"/>
    <w:rsid w:val="008E04CA"/>
    <w:rsid w:val="008E4750"/>
    <w:rsid w:val="008F0D1E"/>
    <w:rsid w:val="008F1515"/>
    <w:rsid w:val="008F7F99"/>
    <w:rsid w:val="00912D33"/>
    <w:rsid w:val="009137F8"/>
    <w:rsid w:val="00916791"/>
    <w:rsid w:val="0092173F"/>
    <w:rsid w:val="009227E9"/>
    <w:rsid w:val="0092441E"/>
    <w:rsid w:val="00924705"/>
    <w:rsid w:val="00927B45"/>
    <w:rsid w:val="00930B6D"/>
    <w:rsid w:val="00932219"/>
    <w:rsid w:val="00933384"/>
    <w:rsid w:val="00934978"/>
    <w:rsid w:val="009474D7"/>
    <w:rsid w:val="00950557"/>
    <w:rsid w:val="00955019"/>
    <w:rsid w:val="00955799"/>
    <w:rsid w:val="009659FD"/>
    <w:rsid w:val="0096776E"/>
    <w:rsid w:val="0097207E"/>
    <w:rsid w:val="00974002"/>
    <w:rsid w:val="00983D85"/>
    <w:rsid w:val="0099034A"/>
    <w:rsid w:val="0099431B"/>
    <w:rsid w:val="009B3FB0"/>
    <w:rsid w:val="009B499A"/>
    <w:rsid w:val="009E1BFA"/>
    <w:rsid w:val="009E63A7"/>
    <w:rsid w:val="009E67D5"/>
    <w:rsid w:val="009E6E2E"/>
    <w:rsid w:val="009E7D47"/>
    <w:rsid w:val="009F0B73"/>
    <w:rsid w:val="009F44FF"/>
    <w:rsid w:val="00A021C8"/>
    <w:rsid w:val="00A16605"/>
    <w:rsid w:val="00A21F94"/>
    <w:rsid w:val="00A233F4"/>
    <w:rsid w:val="00A3084B"/>
    <w:rsid w:val="00A356FC"/>
    <w:rsid w:val="00A41C2A"/>
    <w:rsid w:val="00A525C2"/>
    <w:rsid w:val="00A55F1C"/>
    <w:rsid w:val="00A56371"/>
    <w:rsid w:val="00A56E57"/>
    <w:rsid w:val="00A57538"/>
    <w:rsid w:val="00A57708"/>
    <w:rsid w:val="00A60FE2"/>
    <w:rsid w:val="00A62648"/>
    <w:rsid w:val="00A653D9"/>
    <w:rsid w:val="00A655C2"/>
    <w:rsid w:val="00A67DD4"/>
    <w:rsid w:val="00A702B2"/>
    <w:rsid w:val="00A75ED9"/>
    <w:rsid w:val="00A846A0"/>
    <w:rsid w:val="00A969C6"/>
    <w:rsid w:val="00A971C6"/>
    <w:rsid w:val="00AA1BAB"/>
    <w:rsid w:val="00AA46C2"/>
    <w:rsid w:val="00AA49EF"/>
    <w:rsid w:val="00AA7C2A"/>
    <w:rsid w:val="00AB1297"/>
    <w:rsid w:val="00AB48EE"/>
    <w:rsid w:val="00AC0B40"/>
    <w:rsid w:val="00AC6108"/>
    <w:rsid w:val="00AD3E38"/>
    <w:rsid w:val="00AD4790"/>
    <w:rsid w:val="00AD5E4A"/>
    <w:rsid w:val="00AE10E3"/>
    <w:rsid w:val="00AE3520"/>
    <w:rsid w:val="00AF2B45"/>
    <w:rsid w:val="00AF7677"/>
    <w:rsid w:val="00B02945"/>
    <w:rsid w:val="00B03DC3"/>
    <w:rsid w:val="00B05D85"/>
    <w:rsid w:val="00B06042"/>
    <w:rsid w:val="00B06F71"/>
    <w:rsid w:val="00B22D10"/>
    <w:rsid w:val="00B234D4"/>
    <w:rsid w:val="00B306E2"/>
    <w:rsid w:val="00B42477"/>
    <w:rsid w:val="00B430DB"/>
    <w:rsid w:val="00B44693"/>
    <w:rsid w:val="00B475FE"/>
    <w:rsid w:val="00B47DE9"/>
    <w:rsid w:val="00B54EBA"/>
    <w:rsid w:val="00B57F36"/>
    <w:rsid w:val="00B64B4D"/>
    <w:rsid w:val="00B85979"/>
    <w:rsid w:val="00B85B4B"/>
    <w:rsid w:val="00B91641"/>
    <w:rsid w:val="00B97C5A"/>
    <w:rsid w:val="00BA49EF"/>
    <w:rsid w:val="00BA5065"/>
    <w:rsid w:val="00BA76F3"/>
    <w:rsid w:val="00BB3B8C"/>
    <w:rsid w:val="00BB4961"/>
    <w:rsid w:val="00BB5B42"/>
    <w:rsid w:val="00BB6292"/>
    <w:rsid w:val="00BC304D"/>
    <w:rsid w:val="00BC35F8"/>
    <w:rsid w:val="00BD044B"/>
    <w:rsid w:val="00BD1F9A"/>
    <w:rsid w:val="00BD2D06"/>
    <w:rsid w:val="00BD5980"/>
    <w:rsid w:val="00BE389D"/>
    <w:rsid w:val="00BF1D87"/>
    <w:rsid w:val="00BF4176"/>
    <w:rsid w:val="00BF6757"/>
    <w:rsid w:val="00C00E1D"/>
    <w:rsid w:val="00C05D6F"/>
    <w:rsid w:val="00C1152E"/>
    <w:rsid w:val="00C238D5"/>
    <w:rsid w:val="00C2436E"/>
    <w:rsid w:val="00C24FA8"/>
    <w:rsid w:val="00C33E21"/>
    <w:rsid w:val="00C61ED4"/>
    <w:rsid w:val="00C62D01"/>
    <w:rsid w:val="00C76D97"/>
    <w:rsid w:val="00C8061C"/>
    <w:rsid w:val="00C811D6"/>
    <w:rsid w:val="00C844E2"/>
    <w:rsid w:val="00C906D7"/>
    <w:rsid w:val="00C90741"/>
    <w:rsid w:val="00C93E5D"/>
    <w:rsid w:val="00C95550"/>
    <w:rsid w:val="00C97177"/>
    <w:rsid w:val="00CA432F"/>
    <w:rsid w:val="00CB2ED4"/>
    <w:rsid w:val="00CB3C35"/>
    <w:rsid w:val="00CB50D0"/>
    <w:rsid w:val="00CC0727"/>
    <w:rsid w:val="00CC4255"/>
    <w:rsid w:val="00CD2F78"/>
    <w:rsid w:val="00CD36AE"/>
    <w:rsid w:val="00CD649A"/>
    <w:rsid w:val="00CE7969"/>
    <w:rsid w:val="00D0757B"/>
    <w:rsid w:val="00D104DF"/>
    <w:rsid w:val="00D1650D"/>
    <w:rsid w:val="00D1714F"/>
    <w:rsid w:val="00D23B41"/>
    <w:rsid w:val="00D3026F"/>
    <w:rsid w:val="00D3130B"/>
    <w:rsid w:val="00D37955"/>
    <w:rsid w:val="00D44048"/>
    <w:rsid w:val="00D5351B"/>
    <w:rsid w:val="00D544B0"/>
    <w:rsid w:val="00D57546"/>
    <w:rsid w:val="00D62E70"/>
    <w:rsid w:val="00D66E82"/>
    <w:rsid w:val="00D70B49"/>
    <w:rsid w:val="00D72AF1"/>
    <w:rsid w:val="00D76A60"/>
    <w:rsid w:val="00D92BB0"/>
    <w:rsid w:val="00D95BE5"/>
    <w:rsid w:val="00D97331"/>
    <w:rsid w:val="00D97B10"/>
    <w:rsid w:val="00DA29B9"/>
    <w:rsid w:val="00DA33FC"/>
    <w:rsid w:val="00DA3923"/>
    <w:rsid w:val="00DB38F2"/>
    <w:rsid w:val="00DB6CF9"/>
    <w:rsid w:val="00DC2B89"/>
    <w:rsid w:val="00DD4733"/>
    <w:rsid w:val="00DD6E0C"/>
    <w:rsid w:val="00DF009D"/>
    <w:rsid w:val="00DF1C7C"/>
    <w:rsid w:val="00DF449C"/>
    <w:rsid w:val="00DF704D"/>
    <w:rsid w:val="00E00280"/>
    <w:rsid w:val="00E03CC3"/>
    <w:rsid w:val="00E04B0B"/>
    <w:rsid w:val="00E16E7B"/>
    <w:rsid w:val="00E24276"/>
    <w:rsid w:val="00E2639D"/>
    <w:rsid w:val="00E41A5C"/>
    <w:rsid w:val="00E42A4A"/>
    <w:rsid w:val="00E46CB2"/>
    <w:rsid w:val="00E47630"/>
    <w:rsid w:val="00E533E9"/>
    <w:rsid w:val="00E5590E"/>
    <w:rsid w:val="00E56775"/>
    <w:rsid w:val="00E67CD1"/>
    <w:rsid w:val="00E711C3"/>
    <w:rsid w:val="00E72283"/>
    <w:rsid w:val="00E811A5"/>
    <w:rsid w:val="00EA08FC"/>
    <w:rsid w:val="00EA5B33"/>
    <w:rsid w:val="00EB1D47"/>
    <w:rsid w:val="00EB23C7"/>
    <w:rsid w:val="00EB6028"/>
    <w:rsid w:val="00EB6FAC"/>
    <w:rsid w:val="00EC7880"/>
    <w:rsid w:val="00EC7E3A"/>
    <w:rsid w:val="00ED0E5B"/>
    <w:rsid w:val="00ED1D86"/>
    <w:rsid w:val="00ED35ED"/>
    <w:rsid w:val="00EE0CEC"/>
    <w:rsid w:val="00EE3A9A"/>
    <w:rsid w:val="00EF5EFC"/>
    <w:rsid w:val="00F11771"/>
    <w:rsid w:val="00F1687D"/>
    <w:rsid w:val="00F17BA2"/>
    <w:rsid w:val="00F20ABC"/>
    <w:rsid w:val="00F2369C"/>
    <w:rsid w:val="00F32D73"/>
    <w:rsid w:val="00F32F25"/>
    <w:rsid w:val="00F33EC2"/>
    <w:rsid w:val="00F77484"/>
    <w:rsid w:val="00F92EE0"/>
    <w:rsid w:val="00F93B43"/>
    <w:rsid w:val="00FA0E06"/>
    <w:rsid w:val="00FA1F0B"/>
    <w:rsid w:val="00FA2A3F"/>
    <w:rsid w:val="00FA2FF7"/>
    <w:rsid w:val="00FA6673"/>
    <w:rsid w:val="00FB59DC"/>
    <w:rsid w:val="00FC56C4"/>
    <w:rsid w:val="00FC7FF6"/>
    <w:rsid w:val="00FD024C"/>
    <w:rsid w:val="00FE70F4"/>
    <w:rsid w:val="00FF1F81"/>
    <w:rsid w:val="00FF560C"/>
    <w:rsid w:val="00FF7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004179,#f0f0f0,#4d749e"/>
    </o:shapedefaults>
    <o:shapelayout v:ext="edit">
      <o:idmap v:ext="edit" data="1"/>
    </o:shapelayout>
  </w:shapeDefaults>
  <w:decimalSymbol w:val=","/>
  <w:listSeparator w:val=";"/>
  <w14:docId w14:val="515B73E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it-IT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2441E"/>
    <w:rPr>
      <w:sz w:val="24"/>
      <w:szCs w:val="24"/>
    </w:rPr>
  </w:style>
  <w:style w:type="paragraph" w:styleId="berschrift1">
    <w:name w:val="heading 1"/>
    <w:aliases w:val="Überschrift 1 Char"/>
    <w:basedOn w:val="Standard"/>
    <w:next w:val="Standard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customStyle="1" w:styleId="berschrift1CharChar">
    <w:name w:val="Überschrift 1 Char Char"/>
    <w:rPr>
      <w:rFonts w:ascii="Arial" w:hAnsi="Arial" w:cs="Arial"/>
      <w:b/>
      <w:bCs/>
      <w:kern w:val="32"/>
      <w:sz w:val="32"/>
      <w:szCs w:val="32"/>
      <w:lang w:val="it-IT" w:eastAsia="it-IT" w:bidi="it-IT"/>
    </w:rPr>
  </w:style>
  <w:style w:type="paragraph" w:customStyle="1" w:styleId="FormatvorlageOfiiziellesDokument">
    <w:name w:val="Formatvorlage_Ofiizielles_Dokument"/>
    <w:basedOn w:val="Standard"/>
    <w:pPr>
      <w:numPr>
        <w:numId w:val="1"/>
      </w:numPr>
      <w:spacing w:line="280" w:lineRule="exact"/>
      <w:ind w:right="74"/>
      <w:jc w:val="both"/>
    </w:pPr>
    <w:rPr>
      <w:rFonts w:ascii="TheSans-Plain" w:hAnsi="TheSans-Plain"/>
      <w:noProof/>
      <w:color w:val="004179"/>
      <w:sz w:val="18"/>
      <w:szCs w:val="18"/>
    </w:rPr>
  </w:style>
  <w:style w:type="paragraph" w:styleId="Untertitel">
    <w:name w:val="Subtitle"/>
    <w:basedOn w:val="Standard"/>
    <w:qFormat/>
    <w:pPr>
      <w:ind w:left="360"/>
      <w:jc w:val="both"/>
    </w:pPr>
    <w:rPr>
      <w:rFonts w:ascii="TheSans-Plain" w:hAnsi="TheSans-Plain"/>
      <w:b/>
      <w:bCs/>
    </w:rPr>
  </w:style>
  <w:style w:type="character" w:styleId="Seitenzahl">
    <w:name w:val="page number"/>
    <w:basedOn w:val="Absatz-Standardschriftart"/>
  </w:style>
  <w:style w:type="character" w:styleId="Hyperlink">
    <w:name w:val="Hyperlink"/>
    <w:uiPriority w:val="99"/>
    <w:unhideWhenUsed/>
    <w:rsid w:val="001E2C60"/>
    <w:rPr>
      <w:color w:val="0000FF"/>
      <w:u w:val="single"/>
    </w:rPr>
  </w:style>
  <w:style w:type="paragraph" w:customStyle="1" w:styleId="xmsonormal">
    <w:name w:val="x_msonormal"/>
    <w:basedOn w:val="Standard"/>
    <w:rsid w:val="001E2C60"/>
    <w:pPr>
      <w:spacing w:before="100" w:beforeAutospacing="1" w:after="100" w:afterAutospacing="1"/>
    </w:pPr>
  </w:style>
  <w:style w:type="character" w:customStyle="1" w:styleId="x033494008-29112010">
    <w:name w:val="x_033494008-29112010"/>
    <w:rsid w:val="001E2C60"/>
  </w:style>
  <w:style w:type="character" w:styleId="Fett">
    <w:name w:val="Strong"/>
    <w:qFormat/>
    <w:rsid w:val="00916791"/>
    <w:rPr>
      <w:b/>
      <w:bCs/>
      <w:lang w:val="it-IT" w:eastAsia="it-IT"/>
    </w:rPr>
  </w:style>
  <w:style w:type="paragraph" w:styleId="KeinLeerraum">
    <w:name w:val="No Spacing"/>
    <w:uiPriority w:val="1"/>
    <w:qFormat/>
    <w:rsid w:val="00916791"/>
    <w:rPr>
      <w:sz w:val="24"/>
      <w:szCs w:val="24"/>
    </w:rPr>
  </w:style>
  <w:style w:type="paragraph" w:styleId="Sprechblasentext">
    <w:name w:val="Balloon Text"/>
    <w:basedOn w:val="Standard"/>
    <w:link w:val="SprechblasentextZchn"/>
    <w:rsid w:val="00232B8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232B85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7C02BD"/>
    <w:pPr>
      <w:ind w:left="720"/>
      <w:contextualSpacing/>
    </w:pPr>
  </w:style>
  <w:style w:type="character" w:styleId="Kommentarzeichen">
    <w:name w:val="annotation reference"/>
    <w:basedOn w:val="Absatz-Standardschriftart"/>
    <w:rsid w:val="00C93E5D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C93E5D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C93E5D"/>
  </w:style>
  <w:style w:type="paragraph" w:styleId="Kommentarthema">
    <w:name w:val="annotation subject"/>
    <w:basedOn w:val="Kommentartext"/>
    <w:next w:val="Kommentartext"/>
    <w:link w:val="KommentarthemaZchn"/>
    <w:rsid w:val="00C93E5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C93E5D"/>
    <w:rPr>
      <w:b/>
      <w:bCs/>
    </w:rPr>
  </w:style>
  <w:style w:type="character" w:styleId="BesuchterHyperlink">
    <w:name w:val="FollowedHyperlink"/>
    <w:basedOn w:val="Absatz-Standardschriftart"/>
    <w:semiHidden/>
    <w:unhideWhenUsed/>
    <w:rsid w:val="006B1D4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it-IT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2441E"/>
    <w:rPr>
      <w:sz w:val="24"/>
      <w:szCs w:val="24"/>
    </w:rPr>
  </w:style>
  <w:style w:type="paragraph" w:styleId="berschrift1">
    <w:name w:val="heading 1"/>
    <w:aliases w:val="Überschrift 1 Char"/>
    <w:basedOn w:val="Standard"/>
    <w:next w:val="Standard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customStyle="1" w:styleId="berschrift1CharChar">
    <w:name w:val="Überschrift 1 Char Char"/>
    <w:rPr>
      <w:rFonts w:ascii="Arial" w:hAnsi="Arial" w:cs="Arial"/>
      <w:b/>
      <w:bCs/>
      <w:kern w:val="32"/>
      <w:sz w:val="32"/>
      <w:szCs w:val="32"/>
      <w:lang w:val="it-IT" w:eastAsia="it-IT" w:bidi="it-IT"/>
    </w:rPr>
  </w:style>
  <w:style w:type="paragraph" w:customStyle="1" w:styleId="FormatvorlageOfiiziellesDokument">
    <w:name w:val="Formatvorlage_Ofiizielles_Dokument"/>
    <w:basedOn w:val="Standard"/>
    <w:pPr>
      <w:numPr>
        <w:numId w:val="1"/>
      </w:numPr>
      <w:spacing w:line="280" w:lineRule="exact"/>
      <w:ind w:right="74"/>
      <w:jc w:val="both"/>
    </w:pPr>
    <w:rPr>
      <w:rFonts w:ascii="TheSans-Plain" w:hAnsi="TheSans-Plain"/>
      <w:noProof/>
      <w:color w:val="004179"/>
      <w:sz w:val="18"/>
      <w:szCs w:val="18"/>
    </w:rPr>
  </w:style>
  <w:style w:type="paragraph" w:styleId="Untertitel">
    <w:name w:val="Subtitle"/>
    <w:basedOn w:val="Standard"/>
    <w:qFormat/>
    <w:pPr>
      <w:ind w:left="360"/>
      <w:jc w:val="both"/>
    </w:pPr>
    <w:rPr>
      <w:rFonts w:ascii="TheSans-Plain" w:hAnsi="TheSans-Plain"/>
      <w:b/>
      <w:bCs/>
    </w:rPr>
  </w:style>
  <w:style w:type="character" w:styleId="Seitenzahl">
    <w:name w:val="page number"/>
    <w:basedOn w:val="Absatz-Standardschriftart"/>
  </w:style>
  <w:style w:type="character" w:styleId="Hyperlink">
    <w:name w:val="Hyperlink"/>
    <w:uiPriority w:val="99"/>
    <w:unhideWhenUsed/>
    <w:rsid w:val="001E2C60"/>
    <w:rPr>
      <w:color w:val="0000FF"/>
      <w:u w:val="single"/>
    </w:rPr>
  </w:style>
  <w:style w:type="paragraph" w:customStyle="1" w:styleId="xmsonormal">
    <w:name w:val="x_msonormal"/>
    <w:basedOn w:val="Standard"/>
    <w:rsid w:val="001E2C60"/>
    <w:pPr>
      <w:spacing w:before="100" w:beforeAutospacing="1" w:after="100" w:afterAutospacing="1"/>
    </w:pPr>
  </w:style>
  <w:style w:type="character" w:customStyle="1" w:styleId="x033494008-29112010">
    <w:name w:val="x_033494008-29112010"/>
    <w:rsid w:val="001E2C60"/>
  </w:style>
  <w:style w:type="character" w:styleId="Fett">
    <w:name w:val="Strong"/>
    <w:qFormat/>
    <w:rsid w:val="00916791"/>
    <w:rPr>
      <w:b/>
      <w:bCs/>
      <w:lang w:val="it-IT" w:eastAsia="it-IT"/>
    </w:rPr>
  </w:style>
  <w:style w:type="paragraph" w:styleId="KeinLeerraum">
    <w:name w:val="No Spacing"/>
    <w:uiPriority w:val="1"/>
    <w:qFormat/>
    <w:rsid w:val="00916791"/>
    <w:rPr>
      <w:sz w:val="24"/>
      <w:szCs w:val="24"/>
    </w:rPr>
  </w:style>
  <w:style w:type="paragraph" w:styleId="Sprechblasentext">
    <w:name w:val="Balloon Text"/>
    <w:basedOn w:val="Standard"/>
    <w:link w:val="SprechblasentextZchn"/>
    <w:rsid w:val="00232B8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232B85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7C02BD"/>
    <w:pPr>
      <w:ind w:left="720"/>
      <w:contextualSpacing/>
    </w:pPr>
  </w:style>
  <w:style w:type="character" w:styleId="Kommentarzeichen">
    <w:name w:val="annotation reference"/>
    <w:basedOn w:val="Absatz-Standardschriftart"/>
    <w:rsid w:val="00C93E5D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C93E5D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C93E5D"/>
  </w:style>
  <w:style w:type="paragraph" w:styleId="Kommentarthema">
    <w:name w:val="annotation subject"/>
    <w:basedOn w:val="Kommentartext"/>
    <w:next w:val="Kommentartext"/>
    <w:link w:val="KommentarthemaZchn"/>
    <w:rsid w:val="00C93E5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C93E5D"/>
    <w:rPr>
      <w:b/>
      <w:bCs/>
    </w:rPr>
  </w:style>
  <w:style w:type="character" w:styleId="BesuchterHyperlink">
    <w:name w:val="FollowedHyperlink"/>
    <w:basedOn w:val="Absatz-Standardschriftart"/>
    <w:semiHidden/>
    <w:unhideWhenUsed/>
    <w:rsid w:val="006B1D4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7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63539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1470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027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30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13792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2346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2633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0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7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89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0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49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79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meyle.com/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27E6CB-4F34-4CE8-BABA-9F6BD4A148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731</Words>
  <Characters>4376</Characters>
  <Application>Microsoft Office Word</Application>
  <DocSecurity>0</DocSecurity>
  <Lines>36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5097</CharactersWithSpaces>
  <SharedDoc>false</SharedDoc>
  <HLinks>
    <vt:vector size="18" baseType="variant">
      <vt:variant>
        <vt:i4>3997768</vt:i4>
      </vt:variant>
      <vt:variant>
        <vt:i4>6</vt:i4>
      </vt:variant>
      <vt:variant>
        <vt:i4>0</vt:i4>
      </vt:variant>
      <vt:variant>
        <vt:i4>5</vt:i4>
      </vt:variant>
      <vt:variant>
        <vt:lpwstr>mailto:annika.fuchs@meyle.com</vt:lpwstr>
      </vt:variant>
      <vt:variant>
        <vt:lpwstr/>
      </vt:variant>
      <vt:variant>
        <vt:i4>6750280</vt:i4>
      </vt:variant>
      <vt:variant>
        <vt:i4>3</vt:i4>
      </vt:variant>
      <vt:variant>
        <vt:i4>0</vt:i4>
      </vt:variant>
      <vt:variant>
        <vt:i4>5</vt:i4>
      </vt:variant>
      <vt:variant>
        <vt:lpwstr>mailto:mvb@prvhh.de</vt:lpwstr>
      </vt:variant>
      <vt:variant>
        <vt:lpwstr/>
      </vt:variant>
      <vt:variant>
        <vt:i4>5505048</vt:i4>
      </vt:variant>
      <vt:variant>
        <vt:i4>0</vt:i4>
      </vt:variant>
      <vt:variant>
        <vt:i4>0</vt:i4>
      </vt:variant>
      <vt:variant>
        <vt:i4>5</vt:i4>
      </vt:variant>
      <vt:variant>
        <vt:lpwstr>http://www.meyle.com/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2018-07-16T08:12:00Z</dcterms:created>
  <dcterms:modified xsi:type="dcterms:W3CDTF">2018-07-16T08:12:00Z</dcterms:modified>
</cp:coreProperties>
</file>